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FICHAS PARA DICTAMEN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El problema de la venta de un bien integrante de la comunidad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hereditaria por uno sólo de los herederos, o de un bien en copropiedad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por uno solo de los condueños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Caben tres posibles posturas (sacadas de la STS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23 de Junio de 2009</w:t>
      </w:r>
      <w:r w:rsidRPr="00154B66">
        <w:rPr>
          <w:rFonts w:ascii="Verdana" w:hAnsi="Verdana"/>
          <w:color w:val="000000"/>
          <w:shd w:val="clear" w:color="auto" w:fill="FFFFFF"/>
        </w:rPr>
        <w:t>)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1.-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Venta válida como venta de cosa ajena19</w:t>
      </w:r>
      <w:r w:rsidRPr="00154B66">
        <w:rPr>
          <w:rFonts w:ascii="Verdana" w:hAnsi="Verdana"/>
          <w:color w:val="000000"/>
          <w:shd w:val="clear" w:color="auto" w:fill="FFFFFF"/>
        </w:rPr>
        <w:t>, aunque matizada con la idea de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154B66">
        <w:rPr>
          <w:rFonts w:ascii="Verdana" w:hAnsi="Verdana"/>
          <w:color w:val="000000"/>
          <w:shd w:val="clear" w:color="auto" w:fill="FFFFFF"/>
        </w:rPr>
        <w:t>que la eficacia de la compraventa estará subordinada al hecho de que la cosa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154B66">
        <w:rPr>
          <w:rFonts w:ascii="Verdana" w:hAnsi="Verdana"/>
          <w:color w:val="000000"/>
          <w:shd w:val="clear" w:color="auto" w:fill="FFFFFF"/>
        </w:rPr>
        <w:t>vendida le sea adjudicada al vendedor en las operaciones divisorias.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Se basa en dos argumentos: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1.- En nuestro ordenamiento jurídico es válida la venta de cosa ajena. Por la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154B66">
        <w:rPr>
          <w:rFonts w:ascii="Verdana" w:hAnsi="Verdana"/>
          <w:color w:val="000000"/>
          <w:shd w:val="clear" w:color="auto" w:fill="FFFFFF"/>
        </w:rPr>
        <w:t>distinción entre perfección y consumación de un contrato. La venta de cosa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154B66">
        <w:rPr>
          <w:rFonts w:ascii="Verdana" w:hAnsi="Verdana"/>
          <w:color w:val="000000"/>
          <w:shd w:val="clear" w:color="auto" w:fill="FFFFFF"/>
        </w:rPr>
        <w:t>ajena es una venta perfecta, desde el punto de vista del contrato, aunque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154B66">
        <w:rPr>
          <w:rFonts w:ascii="Verdana" w:hAnsi="Verdana"/>
          <w:color w:val="000000"/>
          <w:shd w:val="clear" w:color="auto" w:fill="FFFFFF"/>
        </w:rPr>
        <w:t>todavía no consumada. De manera que si el vendedor no adquiere la cosa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154B66">
        <w:rPr>
          <w:rFonts w:ascii="Verdana" w:hAnsi="Verdana"/>
          <w:color w:val="000000"/>
          <w:shd w:val="clear" w:color="auto" w:fill="FFFFFF"/>
        </w:rPr>
        <w:t>ajena y la entrega al comprador cumpliendo el contrato, el comprador podrá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154B66">
        <w:rPr>
          <w:rFonts w:ascii="Verdana" w:hAnsi="Verdana"/>
          <w:color w:val="000000"/>
          <w:shd w:val="clear" w:color="auto" w:fill="FFFFFF"/>
        </w:rPr>
        <w:t>resolver la venta vía art. 1124 CC. Pues bien ¿Si se admite la venta de una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154B66">
        <w:rPr>
          <w:rFonts w:ascii="Verdana" w:hAnsi="Verdana"/>
          <w:color w:val="000000"/>
          <w:shd w:val="clear" w:color="auto" w:fill="FFFFFF"/>
        </w:rPr>
        <w:t>cosa que es totalmente ajena del vendedor, porque no admitirla cuando sólo es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154B66">
        <w:rPr>
          <w:rFonts w:ascii="Verdana" w:hAnsi="Verdana"/>
          <w:color w:val="000000"/>
          <w:shd w:val="clear" w:color="auto" w:fill="FFFFFF"/>
        </w:rPr>
        <w:t>ajena en parte?.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2.- El art. 397 CC puede interpretarse como que se refiere a “alteraciones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154B66">
        <w:rPr>
          <w:rFonts w:ascii="Verdana" w:hAnsi="Verdana"/>
          <w:color w:val="000000"/>
          <w:shd w:val="clear" w:color="auto" w:fill="FFFFFF"/>
        </w:rPr>
        <w:t>económicas y no jurídicas”.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2.- Anulabilidad del contrato por error: </w:t>
      </w:r>
      <w:r w:rsidRPr="00154B66">
        <w:rPr>
          <w:rFonts w:ascii="Verdana" w:hAnsi="Verdana"/>
          <w:color w:val="000000"/>
          <w:shd w:val="clear" w:color="auto" w:fill="FFFFFF"/>
        </w:rPr>
        <w:t>Siempre que atendidas las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154B66">
        <w:rPr>
          <w:rFonts w:ascii="Verdana" w:hAnsi="Verdana"/>
          <w:color w:val="000000"/>
          <w:shd w:val="clear" w:color="auto" w:fill="FFFFFF"/>
        </w:rPr>
        <w:t>circunstancias del caso, concurra la creencia de buena fe del comprador e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154B66">
        <w:rPr>
          <w:rFonts w:ascii="Verdana" w:hAnsi="Verdana"/>
          <w:color w:val="000000"/>
          <w:shd w:val="clear" w:color="auto" w:fill="FFFFFF"/>
        </w:rPr>
        <w:t>incluso la creencia común de comprador y vendedor de que la cosa era propia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154B66">
        <w:rPr>
          <w:rFonts w:ascii="Verdana" w:hAnsi="Verdana"/>
          <w:color w:val="000000"/>
          <w:shd w:val="clear" w:color="auto" w:fill="FFFFFF"/>
        </w:rPr>
        <w:t>de éste.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 incluso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anulabilidad por dolo </w:t>
      </w:r>
      <w:r w:rsidRPr="00154B66">
        <w:rPr>
          <w:rFonts w:ascii="Verdana" w:hAnsi="Verdana"/>
          <w:color w:val="000000"/>
          <w:shd w:val="clear" w:color="auto" w:fill="FFFFFF"/>
        </w:rPr>
        <w:t>cuando el comprador actuaba de buena fe y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154B66">
        <w:rPr>
          <w:rFonts w:ascii="Verdana" w:hAnsi="Verdana"/>
          <w:color w:val="000000"/>
          <w:shd w:val="clear" w:color="auto" w:fill="FFFFFF"/>
        </w:rPr>
        <w:t>el vendedor sabía que la cosa era ajena, y sabiéndolo guardo silencio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3.- Nulidad de la venta: </w:t>
      </w:r>
      <w:r w:rsidRPr="00154B66">
        <w:rPr>
          <w:rFonts w:ascii="Verdana" w:hAnsi="Verdana"/>
          <w:color w:val="000000"/>
          <w:shd w:val="clear" w:color="auto" w:fill="FFFFFF"/>
        </w:rPr>
        <w:t>Que a su vez puede ampararse en dos motivos: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a) Nulidad de la venta por falta de objeto20 . Mediante el argumento de que,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154B66">
        <w:rPr>
          <w:rFonts w:ascii="Verdana" w:hAnsi="Verdana"/>
          <w:color w:val="000000"/>
          <w:shd w:val="clear" w:color="auto" w:fill="FFFFFF"/>
        </w:rPr>
        <w:t>sin confundir objeto con poder de disposición sobre el objeto, el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                                                          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19(STS 27-5-1982 y 31-1-1994</w:t>
      </w:r>
      <w:r w:rsidRPr="00154B66">
        <w:rPr>
          <w:rFonts w:ascii="Verdana" w:hAnsi="Verdana"/>
          <w:color w:val="333333"/>
          <w:shd w:val="clear" w:color="auto" w:fill="FFFFFF"/>
        </w:rPr>
        <w:t>)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20 (STS 9</w:t>
      </w:r>
      <w:r w:rsidRPr="00154B66">
        <w:rPr>
          <w:rFonts w:ascii="MS Mincho" w:eastAsia="MS Mincho" w:hAnsi="MS Mincho" w:cs="MS Mincho" w:hint="eastAsia"/>
          <w:color w:val="000000"/>
          <w:shd w:val="clear" w:color="auto" w:fill="FFFFFF"/>
        </w:rPr>
        <w:t>‐</w:t>
      </w:r>
      <w:r w:rsidRPr="00154B66">
        <w:rPr>
          <w:rFonts w:ascii="Verdana" w:hAnsi="Verdana"/>
          <w:color w:val="000000"/>
          <w:shd w:val="clear" w:color="auto" w:fill="FFFFFF"/>
        </w:rPr>
        <w:t>5</w:t>
      </w:r>
      <w:r w:rsidRPr="00154B66">
        <w:rPr>
          <w:rFonts w:ascii="MS Mincho" w:eastAsia="MS Mincho" w:hAnsi="MS Mincho" w:cs="MS Mincho" w:hint="eastAsia"/>
          <w:color w:val="000000"/>
          <w:shd w:val="clear" w:color="auto" w:fill="FFFFFF"/>
        </w:rPr>
        <w:t>‐</w:t>
      </w:r>
      <w:r w:rsidRPr="00154B66">
        <w:rPr>
          <w:rFonts w:ascii="Verdana" w:hAnsi="Verdana"/>
          <w:color w:val="000000"/>
          <w:shd w:val="clear" w:color="auto" w:fill="FFFFFF"/>
        </w:rPr>
        <w:t>1980) 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25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88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0" w:name="65"/>
            <w:bookmarkEnd w:id="0"/>
            <w:r w:rsidRPr="00154B66">
              <w:rPr>
                <w:rFonts w:ascii="Verdana" w:hAnsi="Verdana" w:cs="Arial"/>
                <w:b/>
                <w:bCs/>
              </w:rPr>
              <w:t>Page 65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65 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compraventa está integrado no sólo por la cosa sino también "por los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derechos que radicando sobre la misma son materia de la transmisión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se pretenda operar";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b) Nulidad de la venta por vulnerar una norma imperativa ( art. 6.3 CC), por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154B66">
        <w:rPr>
          <w:rFonts w:ascii="Verdana" w:hAnsi="Verdana"/>
          <w:color w:val="000000"/>
          <w:shd w:val="clear" w:color="auto" w:fill="FFFFFF"/>
        </w:rPr>
        <w:t>la aplicación combinada de los arts. 397 y 1261 CC al implicar la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154B66">
        <w:rPr>
          <w:rFonts w:ascii="Verdana" w:hAnsi="Verdana"/>
          <w:color w:val="000000"/>
          <w:shd w:val="clear" w:color="auto" w:fill="FFFFFF"/>
        </w:rPr>
        <w:t>disposición de la cosa común por uno solo de los partícipes una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154B66">
        <w:rPr>
          <w:rFonts w:ascii="Verdana" w:hAnsi="Verdana"/>
          <w:color w:val="000000"/>
          <w:shd w:val="clear" w:color="auto" w:fill="FFFFFF"/>
        </w:rPr>
        <w:t>alteración que requeriría el consentimiento de los demás.</w:t>
      </w:r>
    </w:p>
    <w:p w:rsidR="002D4F24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Carlos Pérez Ramos (Notario de Montellano);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Noviembre 2009</w:t>
      </w:r>
    </w:p>
    <w:p w:rsidR="002D4F24" w:rsidRDefault="002D4F24" w:rsidP="00154B66">
      <w:pPr>
        <w:jc w:val="both"/>
        <w:rPr>
          <w:rFonts w:ascii="Verdana" w:hAnsi="Verdana"/>
          <w:b/>
          <w:bCs/>
          <w:color w:val="000000"/>
          <w:shd w:val="clear" w:color="auto" w:fill="FFFFFF"/>
        </w:rPr>
      </w:pPr>
    </w:p>
    <w:p w:rsidR="002D4F24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DONACIONES CON CLÁUSULA DE REVERSIÓN para cuando el primer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donatario fallezca.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mi opinión en esta materia podemos complicarnos mucho o bien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154B66">
        <w:rPr>
          <w:rFonts w:ascii="Verdana" w:hAnsi="Verdana"/>
          <w:color w:val="000000"/>
          <w:shd w:val="clear" w:color="auto" w:fill="FFFFFF"/>
        </w:rPr>
        <w:t>buscar la sencillez. La sencillez nos lleva a poder defender dos posibles tesis; o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154B66">
        <w:rPr>
          <w:rFonts w:ascii="Verdana" w:hAnsi="Verdana"/>
          <w:color w:val="000000"/>
          <w:shd w:val="clear" w:color="auto" w:fill="FFFFFF"/>
        </w:rPr>
        <w:t>bien en la donación con pacto de reversión a favor de un tercero o bien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154B66">
        <w:rPr>
          <w:rFonts w:ascii="Verdana" w:hAnsi="Verdana"/>
          <w:color w:val="000000"/>
          <w:shd w:val="clear" w:color="auto" w:fill="FFFFFF"/>
        </w:rPr>
        <w:t>estamos ante una donación asimilable a una sustitución fideicomisaria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154B66">
        <w:rPr>
          <w:rFonts w:ascii="Verdana" w:hAnsi="Verdana"/>
          <w:color w:val="000000"/>
          <w:shd w:val="clear" w:color="auto" w:fill="FFFFFF"/>
        </w:rPr>
        <w:t>contractual o mucho más simple una donación a la que por el artículo 641 CC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154B66">
        <w:rPr>
          <w:rFonts w:ascii="Verdana" w:hAnsi="Verdana"/>
          <w:color w:val="000000"/>
          <w:shd w:val="clear" w:color="auto" w:fill="FFFFFF"/>
        </w:rPr>
        <w:t>se aplicarán las normas de la sustitución fideicomisaria.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Hecha esta salvedad, vamos con la ficha: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Los problemas más interesantes son dos: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1.- ¿La aceptación del 2º donatario debe darse en vida del donante?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2.- ¿La expectativa del donatario antes del fallecimiento del donante, es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transmisible?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Pues bien recordemos el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Artículo 641CC</w:t>
      </w:r>
      <w:r w:rsidRPr="00154B66">
        <w:rPr>
          <w:rFonts w:ascii="Verdana" w:hAnsi="Verdana"/>
          <w:color w:val="000000"/>
          <w:shd w:val="clear" w:color="auto" w:fill="FFFFFF"/>
        </w:rPr>
        <w:t>: Podrá establecerse válidamente la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154B66">
        <w:rPr>
          <w:rFonts w:ascii="Verdana" w:hAnsi="Verdana"/>
          <w:color w:val="000000"/>
          <w:shd w:val="clear" w:color="auto" w:fill="FFFFFF"/>
        </w:rPr>
        <w:t>reversión en favor de sólo el donador para cualquier caso y circunstancias,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154B66">
        <w:rPr>
          <w:rFonts w:ascii="Verdana" w:hAnsi="Verdana"/>
          <w:color w:val="000000"/>
          <w:shd w:val="clear" w:color="auto" w:fill="FFFFFF"/>
        </w:rPr>
        <w:t>pero no en favor de otras personas sino en los mismos casos y con iguales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bookmarkStart w:id="1" w:name="_GoBack"/>
      <w:bookmarkEnd w:id="1"/>
      <w:r w:rsidRPr="00154B66">
        <w:rPr>
          <w:rFonts w:ascii="Verdana" w:hAnsi="Verdana"/>
          <w:color w:val="000000"/>
          <w:shd w:val="clear" w:color="auto" w:fill="FFFFFF"/>
        </w:rPr>
        <w:t>limitaciones que determina este Código para las sustituciones testamentarias.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reversión estipulada por el donante en favor de tercero contra lo dispuesto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el párrafo anterior, es nula; pero, no producirá la nulidad de la donación.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3-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¿La aceptación del 2º donatario debe darse en vida del donante?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respuesta a esta pregunta dependerá de la naturaleza que prediquemos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ostenta la donación con cláusula de reversión a favor de un tercero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para cuando el primer donatario fallezca.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Caben dos posturas.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1ª Entender que estamos ante una donación inter vivos a favor del tercero,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ya que resultara aplicable el art. 633 CC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26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88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2" w:name="66"/>
            <w:bookmarkEnd w:id="2"/>
            <w:r w:rsidRPr="00154B66">
              <w:rPr>
                <w:rFonts w:ascii="Verdana" w:hAnsi="Verdana" w:cs="Arial"/>
                <w:b/>
                <w:bCs/>
              </w:rPr>
              <w:t>Page 66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66 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porque la reversión es una cláusula estipulada es una donación inter vivos y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participa de su naturaleza. En consecuencia el SEGUNDO DONATARIO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DEBERÁ ACEPTAR EN VIDA DEL DONANTE por la aplicación del art. 633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CC.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2ª La segunda postura es entender que nos encontramos ante un fideicomiso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(condicional o personal, según la voluntad del donante) pero de origen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contractual: por el 641CC y porque su redacción recuerda art. 781 Cc. Y sobre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todo por el tenor literal del art. 641 Cc (Parece ser la que acoge el TS en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Sentencia 15 de Julio de 2009).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Según esta tesis no será necesario que el segundo donatario acepte en vida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del donante, ya que la remisión al 781 abre la posibilidad de reversión a favor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personas que no existen en vida del donante. Y así lo entiende la STS de 15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Julio de 2009 , porque en las donaciones con cláusulas de reversión a favor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un tercero, la situación es parecida a la sustitución fideicomisaria.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4-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¿La expectativa del donatario antes del fallecimiento del donante, 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transmisible? Es decir, si muere antes del primer donatario.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a) Será transmisible si hubiera aceptado, porque ya habría adquirido un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derecho definitivo; y siempre que sigamos la tesis de una donación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intervivos a favor del reversionario.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b) Para la tesis del fideicomiso dependerá, por el art 784 CC, de que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revisión sea pura o condicional.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Asimismo vamos para mejor comprensión añadir un resumen de la STS 15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julio 2009 publicada en la revista del notario del siglo XXI: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DONACION CON CLAUSULA DE REVERSION. STS de 15 de Julio de 2009.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Ponente: Doña Encarnación Roca Trías.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El supuesto de hecho es el siguiente: Doña Tarsila dona a su hijo un bien, con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siguiente cláusula: "si el donatario falleciese sin haber tenido descendencia y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sin haber enajenado la vivienda donada, a su fallecimiento ésta debería pasar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 su hermana Josefa, y si ésta le hubiera premuerto, a las hijas de Josefa".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cuestión sobre la que se plantea el recurso de casación se centra en si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tercero favorecido por una cláusula de reversión (las hijas de Josefa) 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también donatario, y por tanto se somete al régimen del CC en materia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donaciones, en particular, las que se refieren a las formalidades para su validez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y eficacia del artículo 633, requisitos de forma que ha de cumplir tanto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reversionario como el donatario (la aceptación).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El motivo se desestima al distinguir dos elementos en este tipo de donaciones: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donación en la que consta la cláusula de reversión, y la reversión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propiamente dicha.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el presente caso, al tratarse de reversión pactada a favor de un tercero,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situación es parecida a la sustitución fideicomisaria, pues el beneficiario no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interviene en el otorgamiento de la donación, y en cambio debe actuar cuando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se cumpla la condición que determina la reversión, que juega como resolutoria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27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88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3" w:name="67"/>
            <w:bookmarkEnd w:id="3"/>
            <w:r w:rsidRPr="00154B66">
              <w:rPr>
                <w:rFonts w:ascii="Verdana" w:hAnsi="Verdana" w:cs="Arial"/>
                <w:b/>
                <w:bCs/>
              </w:rPr>
              <w:t>Page 67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67 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para el primer donatario y como suspensiva para el tercero beneficiario. ¿Se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requiere por tanto la aceptación del beneficiario, o se produce automáticamente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adquisición de lo donado?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El TS señala:- que no es necesario para la validez de la donación originaria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aceptación en ella de los posibles beneficiarios de la cláusula reversional.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- Que cumplido el evento previsto por la donante para la reversión, los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beneficiarios adquieren su derecho, sin perjuicio de poder renunciarlo.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Carlos Pérez Ramos (Notario de Montellano);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Noviembre 2009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CUESTIONES PRÁCTICAS SOBRE EL ARTÍCULO 839 CÓDIGO CIVIL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ÍNDICE: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1.- ¿ A quién corresponde la facultad de conmutar?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2.- ¿QUIENES PUEDEN EFECTUARLA EN NOMBRE DEL HEREDERO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MENOR DE EDAD?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3.- ¿Puede el cónyuge viudo imponer la conmutación?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4.- Significado de la expresión “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Mutuo Acuerdo </w:t>
      </w:r>
      <w:r w:rsidRPr="00154B66">
        <w:rPr>
          <w:rFonts w:ascii="Verdana" w:hAnsi="Verdana"/>
          <w:color w:val="000000"/>
          <w:shd w:val="clear" w:color="auto" w:fill="FFFFFF"/>
        </w:rPr>
        <w:t>“del 839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5.- ¿ Puede el testador imponer la conmutación?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6.- ¿ Puede el testador PROHIBIR la conmutación?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7.- ¿Puede el contador partidor realizar la conmutación?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8.- ¿Qué se entiende por “capital en efectivo”?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9.- ¿Pueden los herederos conmutar por otros bienes diferentes a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asignación de un capital en efectivo? ¿ En concreto, podría conmutarse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usufructo viudal por la propiedad de una finca?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10.- CRITERIO DE VALORACIÓN:.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11.- ¿En lo conmutado puede haber reserva VIUDAL?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12.- PLAZO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Dice el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art. 839 Cc</w:t>
      </w:r>
      <w:r w:rsidRPr="00154B66">
        <w:rPr>
          <w:rFonts w:ascii="Verdana" w:hAnsi="Verdana"/>
          <w:color w:val="000000"/>
          <w:shd w:val="clear" w:color="auto" w:fill="FFFFFF"/>
        </w:rPr>
        <w:t>: </w:t>
      </w:r>
      <w:r w:rsidRPr="00154B66">
        <w:rPr>
          <w:rFonts w:ascii="Verdana" w:hAnsi="Verdana"/>
          <w:b/>
          <w:bCs/>
          <w:i/>
          <w:iCs/>
          <w:color w:val="000000"/>
          <w:shd w:val="clear" w:color="auto" w:fill="FFFFFF"/>
        </w:rPr>
        <w:t>"Los herederos podrán satisfacer al cónyuge su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i/>
          <w:iCs/>
          <w:color w:val="000000"/>
          <w:shd w:val="clear" w:color="auto" w:fill="FFFFFF"/>
        </w:rPr>
        <w:t>parte de usufructo, asignándole una renta vitalicia, los productos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i/>
          <w:iCs/>
          <w:color w:val="000000"/>
          <w:shd w:val="clear" w:color="auto" w:fill="FFFFFF"/>
        </w:rPr>
        <w:t>determinados bienes, o un capital en efectivo, procediendo de mutuo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i/>
          <w:iCs/>
          <w:color w:val="000000"/>
          <w:shd w:val="clear" w:color="auto" w:fill="FFFFFF"/>
        </w:rPr>
        <w:t>acuerdo y, en su defecto, por virtud de mandato judicial.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i/>
          <w:iCs/>
          <w:color w:val="000000"/>
          <w:shd w:val="clear" w:color="auto" w:fill="FFFFFF"/>
        </w:rPr>
        <w:t>Mientras esto no se realice, estarán afectos todos los bienes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i/>
          <w:iCs/>
          <w:color w:val="000000"/>
          <w:shd w:val="clear" w:color="auto" w:fill="FFFFFF"/>
        </w:rPr>
        <w:t>herencia al pago de la parte de usufructo que corresponda 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i/>
          <w:iCs/>
          <w:color w:val="000000"/>
          <w:shd w:val="clear" w:color="auto" w:fill="FFFFFF"/>
        </w:rPr>
        <w:t>cónyuge."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28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88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4" w:name="68"/>
            <w:bookmarkEnd w:id="4"/>
            <w:r w:rsidRPr="00154B66">
              <w:rPr>
                <w:rFonts w:ascii="Verdana" w:hAnsi="Verdana" w:cs="Arial"/>
                <w:b/>
                <w:bCs/>
              </w:rPr>
              <w:t>Page 68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68 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1.- ¿ A quién corresponde la facultad de conmutar? </w:t>
      </w:r>
      <w:r w:rsidRPr="00154B66">
        <w:rPr>
          <w:rFonts w:ascii="Verdana" w:hAnsi="Verdana"/>
          <w:color w:val="000000"/>
          <w:shd w:val="clear" w:color="auto" w:fill="FFFFFF"/>
        </w:rPr>
        <w:t>La facultad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conmutar corresponde a los herederos voluntarios, forzosos o abintestato,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porque la Ley no distingue que estén gravados con el usufructo vidual. Por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identidad de ratio, también a los legatarios gravados (así , STS 10 octubre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2.000). Y procederá tanto en el caso del usufructo legal como en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usufructo universal.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Una STS de 13 de abril 1956 dado su carácter patrimonial lo considera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transmisible a los herederos del heredero que fallece sin ejercitar el art. 839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Cc.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2.- ¿QUIENES PUEDEN EFECTUARLA EN NOMBRE DEL HEREDERO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MENOR DE EDAD?</w:t>
      </w:r>
      <w:r w:rsidRPr="00154B66">
        <w:rPr>
          <w:rFonts w:ascii="Verdana" w:hAnsi="Verdana"/>
          <w:color w:val="000000"/>
          <w:shd w:val="clear" w:color="auto" w:fill="FFFFFF"/>
        </w:rPr>
        <w:t>: La Sentencia de 28 junio 1962 presupone que se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nombrará defensor judicial. Este defensor judicial declaró la sentencia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aunque la afirmación sea solamente obiter dicta, puede, sin la autorización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del juez, convenir con el cónyuge viudo la conmutación del usufructo,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siempre que tal conmutación se concreta en la asignación de una renta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vitalicia, en la asignación del producto de bienes determinados en la entrega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una determinada cantidad dineraria». Sin embargo cuando se trate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conmutar el usufructo del viudo por bienes inmuebles concretos necesitará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el defensor judicial autorización del juez porque como dice DÍEZ-PICAZO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«tanto las facultades del padre, como en su caso, las del defensor judicial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le sustituya en la partición de la herencia, son facultades puramente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paticionales o divisorias, y conmutar con bienes que no sean los del art. 839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Cc excede de lo particional. NO obstante la Sentencia citada permite que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defensor judicial sin necesidad de aprobación judicial pueda conmutar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usufructo del viudo por bienes inmuebles o en el caso de que «todos o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mayor parte de los bienes relictos sean improductivos».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3.- ¿Puede el cónyuge viudo imponer la conmutación? </w:t>
      </w:r>
      <w:r w:rsidRPr="00154B66">
        <w:rPr>
          <w:rFonts w:ascii="Verdana" w:hAnsi="Verdana"/>
          <w:color w:val="000000"/>
          <w:shd w:val="clear" w:color="auto" w:fill="FFFFFF"/>
        </w:rPr>
        <w:t>No cabe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iniciativa del cónyuge viudo salvo en supuestos excepcionales (STS 20 Dic.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91, en un caso de herencia compuesta íntegramente por bienes no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fructíferos), en cuyo caso cabe que imponga la conmutación el Juez.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4.- Significado de la expresión “</w:t>
      </w:r>
      <w:r w:rsidRPr="00154B66">
        <w:rPr>
          <w:rFonts w:ascii="Verdana" w:hAnsi="Verdana"/>
          <w:b/>
          <w:bCs/>
          <w:i/>
          <w:iCs/>
          <w:color w:val="000000"/>
          <w:shd w:val="clear" w:color="auto" w:fill="FFFFFF"/>
        </w:rPr>
        <w:t>Mutuo Acuerdo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“del 839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Los herederos al conmutar deben actuar de forma unánime. Cada uno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no puede imponer una forma distinta de conmutar por el 1058 CC.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Sin embargo, el “mutuo acuerdo” a que se refiere la ley, en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realidad es un acuerdo entre viudo y herederos sobre la ejecución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conmutación.( por ejemplo sobre que bienes recaerá el usufructo,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cuantía de la renta vitalicia…). No puede ser mutuo acuerdo de los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herederos y el viudo para que haya conmutación porque entonces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sobraría el art. 839 Cc y la concesión por el mismo de una facultad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conmutar unilateral.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5.- ¿ Puede el testador imponer la conmutación?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¿ Puede el testador imponer la conmutación al VIUDO?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 POSIBLE, ya que para el viudo es irrelevante que le imponga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conmutación los herederos o bien se la imponga el testador.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29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88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5" w:name="69"/>
            <w:bookmarkEnd w:id="5"/>
            <w:r w:rsidRPr="00154B66">
              <w:rPr>
                <w:rFonts w:ascii="Verdana" w:hAnsi="Verdana" w:cs="Arial"/>
                <w:b/>
                <w:bCs/>
              </w:rPr>
              <w:t>Page 69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69 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No es POSIBLE: Tesis peculiar ( GOMÁ): No podría el testador imponer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conmutación al viudo por varios argumentos: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a) La ley sólo habla de que puedan imponer la conmutación los herederos,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no el testador.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b) Supone una agresión a la intangibilidad cualitativa de su derecho.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c) Al viudo le hacen unas atribuciones en usufructo y no parece que deba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consentir que se le pague de otra manera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d) El testador podría imponer la conmutación a los herederos, a través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dos mecanismos posibles: de manera indirecta al modo de una cautela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socini, o como un MODO, cuyo incumplimiento producirá las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consecuencias del incumplimiento de los modos testamentarios.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¿ Puede el testador imponer la conmutación a los HEREDEROS?. Hay dos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tesis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PUEDE: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- Sí que puede imponer la conmutación porque intenta evitar roces entre los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herederos y el viudo, en cuanto son nudo propietarios y usufructuarios.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- En todo caso no habrá problema cuando los herederos sean voluntarios y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aún cuando siendo legitimarios siempre que la conmutación se pague con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cargo a la parte libre, que se deja también a aquellos.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NO PUEDE: Seguiremos a Cámara resumiéndolo.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legítima del viudo por ministerio de la ley recae sobre el tercio de mejora. 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verdad que entre el testador y los descendientes la mejora no es legítima, pero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sí frente a terceros ( el viudo) y en todo caso la mejora se puede incluir dentro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del concepto de legítima colectiva de los descendientes. El testador al imponer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conmutación impone un nuevo gravamen distinto al legal( usufructo del tercio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mejora).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6.- ¿ Puede el testador PROHIBIR la conmutación? </w:t>
      </w:r>
      <w:r w:rsidRPr="00154B66">
        <w:rPr>
          <w:rFonts w:ascii="Verdana" w:hAnsi="Verdana"/>
          <w:color w:val="000000"/>
          <w:shd w:val="clear" w:color="auto" w:fill="FFFFFF"/>
        </w:rPr>
        <w:t>Cámara lo admite dado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no tiene sentido esta facultad cuando el testador desea que su cónyuge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reciba el usufructo viudal.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7.- ¿Puede el contador partidor realizar la conmutación?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 favor: Si el testador puede imponerla también puede disponer que la pueda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ordenar el contador-partidor.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contra ( mayoritaria)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- Excede de contar y partir.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- Y la facultad de conmutar es de los gravados por el usufructo viudal, y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contador-partidor no es representante de los herederos sino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testador.(STS 24 de noviembre de 1960).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30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88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6" w:name="70"/>
            <w:bookmarkEnd w:id="6"/>
            <w:r w:rsidRPr="00154B66">
              <w:rPr>
                <w:rFonts w:ascii="Verdana" w:hAnsi="Verdana" w:cs="Arial"/>
                <w:b/>
                <w:bCs/>
              </w:rPr>
              <w:t>Page 70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70 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8.- ¿Qué se entiende por “capital en efectivo”?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Respecto al “capital en efectivo” la jurisprudencia entiende (STS 28 junio 1962)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equivale al capital en dinero , aunque por STS 15 junio 1982 también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admite que incluya “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partipaciones societarias en cuanto índices representativos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de la participación de un capital</w:t>
      </w:r>
      <w:r w:rsidRPr="00154B66">
        <w:rPr>
          <w:rFonts w:ascii="Verdana" w:hAnsi="Verdana"/>
          <w:color w:val="000000"/>
          <w:shd w:val="clear" w:color="auto" w:fill="FFFFFF"/>
        </w:rPr>
        <w:t>.”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9.- ¿Pueden los herederos conmutar por otros bienes diferentes a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asignación de un capital en efectivo? ¿ En concreto, podría conmutarse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usufructo viudal por la propiedad de una finca?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- RIVAS entiende que sí, interpretando el término “capital” en sentido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amplio.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- GOMÁ opina que se puede hacer ya que por el 1058 CC los herederos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pueden partir 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como tengan por conveniente</w:t>
      </w:r>
      <w:r w:rsidRPr="00154B66">
        <w:rPr>
          <w:rFonts w:ascii="Verdana" w:hAnsi="Verdana"/>
          <w:color w:val="000000"/>
          <w:shd w:val="clear" w:color="auto" w:fill="FFFFFF"/>
        </w:rPr>
        <w:t>. Se exigirá el consentimiento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todos los interesados ( herederos+viudo). Ya no estaremos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propiamente ante una conmutación sino ante un Negocio Jurídico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particional; que entendemos que excedería de lo meramente particional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y sería un acto de disposición ( con sus consecuencias en capacidad,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autorización judicial, etc.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jurisprudencia por su parte en STS 28 de junio1962 declara “que el art.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839 CC sólo permite elegir a los herederos una de las tres formas de pago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se indican en el mimo, pero no incluye la adjudicación en pleno dominio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bienes inmuebles, si bien los herederos mayores de edad, obrando en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interés propio y en la libre administración de sus bienes, de común acuerdo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 el viudo, pueden sustituir el usufructo por un capital en inmuebles”.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10.- CRITERIO DE VALORACIÓN: </w:t>
      </w:r>
      <w:r w:rsidRPr="00154B66">
        <w:rPr>
          <w:rFonts w:ascii="Verdana" w:hAnsi="Verdana"/>
          <w:color w:val="000000"/>
          <w:shd w:val="clear" w:color="auto" w:fill="FFFFFF"/>
        </w:rPr>
        <w:t>Sts de 5 noviembre 1913 y 13 de abril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1956 dicen que es criterio racional de valoración utilizar el señalado por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legislación fiscal.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11.- ¿En lo conmutado puede haber reserva VIUDAL?-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Podría admitirse, basándose en que el 968 impone reservar los bienes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adquiridos por el viudo por sucesión intestada. A lo único q se puede referir 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 la legítima viudal que es lo único q el testador percibirá en la intestada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existiendo descendientes.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Nosotros sin embargo, nos manifestamos en contra por diversos argumentos: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a. El 968 al referirse a lo que reciba por intestada puede referirse al caso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el viudo reciba como heredero abintestato por repudiación de todos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los descendientes.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b. No se puede reservar el usufructo viudal, porque sería absurdo, ya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nada habría que reservar. El usufructo sería vitalicio y a la muerte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cónyuge reservista se extinguiría, no percibiendo nada los reservatarios.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Si no se reserva el usufructo viudal ¿Por qué la parte conmutada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viene a ocupar su lugar?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c. El 968 y siguientes impone la reserva sobre los bienes adquiridos a título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gratuito y la legítima la conmutada, no es una atribución gratuita sino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onerosa. Se hace en pago de legítima.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31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88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7" w:name="71"/>
            <w:bookmarkEnd w:id="7"/>
            <w:r w:rsidRPr="00154B66">
              <w:rPr>
                <w:rFonts w:ascii="Verdana" w:hAnsi="Verdana" w:cs="Arial"/>
                <w:b/>
                <w:bCs/>
              </w:rPr>
              <w:t>Page 71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71 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12.- PLAZO: </w:t>
      </w:r>
      <w:r w:rsidRPr="00154B66">
        <w:rPr>
          <w:rFonts w:ascii="Verdana" w:hAnsi="Verdana"/>
          <w:color w:val="000000"/>
          <w:shd w:val="clear" w:color="auto" w:fill="FFFFFF"/>
        </w:rPr>
        <w:t>Según la STS de 10 de octubre del año 2.000, el art. 839 Cc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no impone plazo para hacer la conmutación, aunque la doctrina entiende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deberá ser al tiempo de realizar la partición para evitar que esta nunca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alcance carácter definitivo. (Así, STS 28 marzo 1924).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CARLOS PÉREZ RAMOS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DIFERENCIAS ENTRE DATIO PRO SOLUTO (Dación EN Pago de Deudas)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Y DATIO PRO SOLVENDO (Dación para Pago de deudas).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jurisprudencia, que recoge la reciente Sentencia de 1 de octubre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2009, ha sido reiterada al distinguir la dación en pago - datio pro soluto-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pago por cesión de bienes - dato pro solvendo -. Siguiendo dicha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jurisprudencia, destacamos: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Times New Roman" w:hAnsi="Times New Roman"/>
          <w:b/>
          <w:bCs/>
          <w:color w:val="000000"/>
          <w:shd w:val="clear" w:color="auto" w:fill="FFFFFF"/>
        </w:rPr>
        <w:t>►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 xml:space="preserve"> La Adjudicación PARA Pago de deudas (datio pro solvendo</w:t>
      </w:r>
      <w:r w:rsidRPr="00154B66">
        <w:rPr>
          <w:rFonts w:ascii="Verdana" w:hAnsi="Verdana"/>
          <w:color w:val="000000"/>
          <w:shd w:val="clear" w:color="auto" w:fill="FFFFFF"/>
        </w:rPr>
        <w:t>), tiene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especifica regulación en el artículo 1175 del Código Civil, y se configura como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un negocio jurídico por virtud del cual el deudor propietario transmite a un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tercero, que en realidad actúa por encargo, la posesión de sus bienes y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facultad de proceder a su realización, con mayor o menor amplitud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facultades, pero con la obligación de aplicar el importe obtenido en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enajenación de aquéllos al pago de las deudas contraídas por el cedente.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Times New Roman" w:hAnsi="Times New Roman"/>
          <w:b/>
          <w:bCs/>
          <w:color w:val="000000"/>
          <w:shd w:val="clear" w:color="auto" w:fill="FFFFFF"/>
        </w:rPr>
        <w:t>►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 xml:space="preserve"> LA DACIÓN EN PAGO (datio pro soluto) </w:t>
      </w:r>
      <w:r w:rsidRPr="00154B66">
        <w:rPr>
          <w:rFonts w:ascii="Verdana" w:hAnsi="Verdana"/>
          <w:color w:val="000000"/>
          <w:shd w:val="clear" w:color="auto" w:fill="FFFFFF"/>
        </w:rPr>
        <w:t>Siguiendo la jurisprudencia en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materia recogida por la reciente STS 1 de octubre de 2009: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CONCEPTO: Se trata de un acto en virtud del cual el deudor trasmite bienes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su propiedad al acreedor, a fin de que éste aplique el bien recibido a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extinción del crédito de que era titular.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NATURALEZA JURÍDICA: Y la doctrina ha calificado la Dación en Pago: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- Como venta.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- Como novación.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- O como acto complejo.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Sin embargo, para la STS de 1 de octubre 2009 sea cual sea la naturaleza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jurídica que se atribuya a la dación en pago, el crédito que se extingue en virtud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la transmisión tendrá igual 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función que el precio en la compraventa</w:t>
      </w:r>
      <w:r w:rsidRPr="00154B66">
        <w:rPr>
          <w:rFonts w:ascii="Verdana" w:hAnsi="Verdana"/>
          <w:color w:val="000000"/>
          <w:shd w:val="clear" w:color="auto" w:fill="FFFFFF"/>
        </w:rPr>
        <w:t>. Por lo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su regulación habrá de acomodarse analógicamente a las normas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compraventa, al carecer de reglas especificas.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No obstante, si bien se aplican por analogía normas de la compraventa,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aunque 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es claro que no es un contrato de compraventa</w:t>
      </w:r>
      <w:r w:rsidRPr="00154B66">
        <w:rPr>
          <w:rFonts w:ascii="Verdana" w:hAnsi="Verdana"/>
          <w:color w:val="000000"/>
          <w:shd w:val="clear" w:color="auto" w:fill="FFFFFF"/>
        </w:rPr>
        <w:t>. Por consiguiente, no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deben aplicarse las normas de la compraventa totalmente y sin excepción ni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variación. Así, según la STS 1 de octubre 2009, si existen unas prestaciones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realizadas por el acreedor cuyo pago es debido, aunque no estén plenamente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identificadas, ni valoradas, pueden ser satisfechas a través de la dación en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32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8" w:name="72"/>
            <w:bookmarkEnd w:id="8"/>
            <w:r w:rsidRPr="00154B66">
              <w:rPr>
                <w:rFonts w:ascii="Verdana" w:hAnsi="Verdana" w:cs="Arial"/>
                <w:b/>
                <w:bCs/>
              </w:rPr>
              <w:t>Page 72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72 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pago pactada entre acreedor y deudor. Es decir, no se aplica el requisito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en la compraventa el precio debe ser cierto (art. 1445 Cc).21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Carlos Pérez Ramos. Montellano diciembre 2009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PAREJA QUE COMPRAN POR MITAD UN INMUEBLE PACTANDO QUE 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FALLECIMIENTO DE UNO DE ELLOS SU PARTE ACRECERÁ AL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SOBREVIVA SIN COMPUTARLO EN SU HERENCIA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¿ES ADMISIBLE ESTE PACTO?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Times New Roman" w:hAnsi="Times New Roman"/>
          <w:b/>
          <w:bCs/>
          <w:color w:val="000000"/>
          <w:shd w:val="clear" w:color="auto" w:fill="FFFFFF"/>
        </w:rPr>
        <w:t>►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 xml:space="preserve"> Argumentos en contra de su admisibilidad: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1. Es verdad que se admite en caso del derecho real de usufructo, en el art.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521 Cc, pero no se recoge en caso de condominio.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2. La consideración de que si la cotitularidad expansiva se admite en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usufructo (art. 521 Cc) ello es excepcional, dado su carácter temporal y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frecuentemente vitalicio, que no tiene el dominio.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3. También es cierto que se reconoce un pacto similar en el derecho catalán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para las compras con pacto de sobrevivencia. Sin embargo, no hay norma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similar en el derecho común.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4. Además el argumento fundamental para rechazarlo es que puede ser un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camino para defraudar los derechos de los legitimarios y encubrir un pacto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sucesorio, que se encuentra prohibido en el derecho común.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Times New Roman" w:hAnsi="Times New Roman"/>
          <w:b/>
          <w:bCs/>
          <w:color w:val="000000"/>
          <w:shd w:val="clear" w:color="auto" w:fill="FFFFFF"/>
        </w:rPr>
        <w:t>►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 xml:space="preserve"> Argumentos a favor de su admisibilidad: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Los argumentos anteriores pueden ser contestados: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1.- En un supuesto concreto, como es el llamado pacto al más viviente” 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admitido expresamente por el Derecho catalán.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2.- En cuanto la referencia al carácter excepcional del art. 521 Cc, entiendo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puede ser contestado con la idea que puede tener carácter excepcional su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aplicación legal pero se trata no de un caso en que la ley imponga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acrecimiento sino que éste viene dado por un pacto expreso. Además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sostener que se admite excepcionalmente el derecho de acrecer en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                                                          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21 pues las partes, en aras del principio de autonomía de la voluntad ex artículo 1255 pueden acordar esta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forma especial del pago. Es lo que ocurre en el caso de la STS 1 de oct 2009. En la que se declara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no hay infracción alguna cuando en una dación en pago se entregan unos bienes en pago de los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honorarios que ha devengado el demandante en su trabajo de intermediación en promociones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edificaciones, pese a que ni los trabajos ni los honorarios están perfectamente determinados y valorados,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pero el acuerdo de las partes es válido, por el principio de la autonomía de la voluntad que proclama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artículo 1255 del Código civil como uno de los principios básicos del derecho privado, siendo así que no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va contra la ley, ni la moral, ni el orden público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33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9" w:name="73"/>
            <w:bookmarkEnd w:id="9"/>
            <w:r w:rsidRPr="00154B66">
              <w:rPr>
                <w:rFonts w:ascii="Verdana" w:hAnsi="Verdana" w:cs="Arial"/>
                <w:b/>
                <w:bCs/>
              </w:rPr>
              <w:t>Page 73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73 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usufructo por ser éste normalmente vitalicio, no se sostiene. En primer lugar,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artículo 521 del código no se aplica sólo al vitalicio. Y además la propiedad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también puede constituirse negocialmente como temporal para determinadas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personas.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3.- Respecto al pacto sucesorio encubierto y el fraude a las legítimas se puede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salvar con el argumento de que estamos ante un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contrato aleatorio y por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tanto oneroso</w:t>
      </w:r>
      <w:r w:rsidRPr="00154B66">
        <w:rPr>
          <w:rFonts w:ascii="Verdana" w:hAnsi="Verdana"/>
          <w:color w:val="000000"/>
          <w:shd w:val="clear" w:color="auto" w:fill="FFFFFF"/>
        </w:rPr>
        <w:t>, sujeto “al doble o nada”, si sobrevive un comunero a otro se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queda con todo, pero si le premuere se queda sin nada. La causa tanto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enriquecimiento como del empobrecimiento que resulte con el primer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fallecimiento para el patrimonio de cada cotitular tendría en todo caso carácter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oneroso y aleatorio, lo que excluye su inoficiosidad.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4.- Asimismo, podemos sustentar este pacto en los siguientes argumentos: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1)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El argumento fundamental se encuentra en el tenor literal del párrafo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segundo del artículo 392 Cc, que admite en esta materia la autonomía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voluntad, cuando considera preferente en la regulación de la comunidad a lo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pactado por los interesados frente a las disposiciones del Código.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2)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realidad, en esta forma de condominio expansivo, con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llamamiento al todo lo que existe para cada cotitular es un derecho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condicionado suspensivamente en cuanto a su acrecimiento al fallecimiento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otro, y sujeto a la vez a la condición resolutoria de su premoriencia. Y si tal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resultado puede obtenerse obligacionalmente ¿Por qué no podemos dar a esos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pactos eficacia real, conforme al citado artículo 392,2 del Código?.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3) El pacto que analizamos se trata de un supuesto que encaja en lo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Beltrán de Heredia ha descrito como “titularidad plúrima total”, en la que cada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partícipe tiene desde el principio no un derecho sobre una cuota, sino un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derecho a la totalidad, pero constreñido o limitado por el derecho del otro titular.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la misma manera que el dominio ordinario puede estar también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limitado por cualquier carga real, aquí lo que limita el derecho del cotitular 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otro derecho de idéntica naturaleza. Por eso, con el fallecimiento de uno de los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cónyuges desaparece lo que constreñía la titularidad del otro, y el supérstite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queda como único titular pleno, al producirse la expansión en su derecho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preexistente, el acrecimiento.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 este acrecimiento no se produce sin embargo una transmisión en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su favor, como tampoco la hay a favor de cualquier propietario cuando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desaparece la carga de su dominio, pues no se adquiere entonces nada que no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le hubiera pertenecido desde el primer momento. Lo que se produce con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acrecimiento es una concreción definitiva en la titularidad, que hasta entonces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había permanecido en una cierta indefinición.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CARLOS PÉREZ RAMOS; Febrero 2010. Notario de Montellano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34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10" w:name="74"/>
            <w:bookmarkEnd w:id="10"/>
            <w:r w:rsidRPr="00154B66">
              <w:rPr>
                <w:rFonts w:ascii="Verdana" w:hAnsi="Verdana" w:cs="Arial"/>
                <w:b/>
                <w:bCs/>
              </w:rPr>
              <w:t>Page 74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74 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Problemas entorno a la valoración de los bienes donados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sujetos a colación.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El punto de partida es el Art. 1045 Cc, a cuyo tenor: “No han de traerse 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colación y partición las mismas cosas donadas, sino su valor al tiempo en que se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evalúen los bienes hereditarios.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El aumento o deterioro físico posterior a la donación y aun su pérdida total,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casual o culpable, será a cargo y riesgo o beneficio del donatario”.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donación se debe valorar al tiempo del fallecimiento pero según el “estado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físico” que tenía al tiempo de donarse. Por tanto, sin tener en cuenta en dicho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valoración las alteraciones físicas. O como dicen LACRUZ y SANCHO, sin tener en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cuenta las transformaciones que haya podido experimentar por obra de la naturaleza 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del hombre: la construcción en el solar o la pérdida del bosque, etc.).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Se apoya en los siguientes argumentos: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1. El principal, es el propio tenor literal del párrafo primero del art. 1045 CC.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2. Debe valorarse al tiempo del fallecimiento porque de no haberse efec-tuado las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donaciones; permanecerían al tiempo del fallecimiento, en el patrimonio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hereditario, los bienes en su día donado.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3. Comparando la antigua redacción del art. 1045 Cc con la nueva. Antes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reforma del ochenta y uno, el 1045 se refería al valor de los bienes al tiempo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donación.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4. La solución del valor de lo donado al tiempo de la donación produciría un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enriquecimiento injusto del donatario en perjuicio de los coherederos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colacionante.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5. Si fuese el valor de los bienes al tiempo de la donación pero actualizado 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tiempo del fallecimiento, el 1045 debería hablar de “ su valor en el tiempo”.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Pues bien, es esencial distinguir según se trate de alteraciones físicas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los bienes o de otro tipo de modificaciones: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Times New Roman" w:hAnsi="Times New Roman"/>
          <w:color w:val="000000"/>
          <w:shd w:val="clear" w:color="auto" w:fill="FFFFFF"/>
        </w:rPr>
        <w:t>►</w:t>
      </w:r>
      <w:r w:rsidRPr="00154B66">
        <w:rPr>
          <w:rFonts w:ascii="Verdana" w:hAnsi="Verdana"/>
          <w:color w:val="000000"/>
          <w:shd w:val="clear" w:color="auto" w:fill="FFFFFF"/>
        </w:rPr>
        <w:t>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Alteraciones físicas del bien donado</w:t>
      </w:r>
      <w:r w:rsidRPr="00154B66">
        <w:rPr>
          <w:rFonts w:ascii="Verdana" w:hAnsi="Verdana"/>
          <w:color w:val="000000"/>
          <w:shd w:val="clear" w:color="auto" w:fill="FFFFFF"/>
        </w:rPr>
        <w:t>: No se tienen en consideración 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tiempo de la valoración de la donación a los efectos de la colación, de ahí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diga el artículo 1.045 en su párrafo segundo 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que serán a cargo y riesgo 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beneficio del donatario</w:t>
      </w:r>
      <w:r w:rsidRPr="00154B66">
        <w:rPr>
          <w:rFonts w:ascii="Verdana" w:hAnsi="Verdana"/>
          <w:color w:val="000000"/>
          <w:shd w:val="clear" w:color="auto" w:fill="FFFFFF"/>
        </w:rPr>
        <w:t>. En definitiva, lo que el precepto quiere significar es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valoración de los bienes se hará en el momento en que se valoren el resto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los bienes hereditarios pero según el estado físico que tenían al tiempo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hacerse la donación.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Times New Roman" w:hAnsi="Times New Roman"/>
          <w:color w:val="000000"/>
          <w:shd w:val="clear" w:color="auto" w:fill="FFFFFF"/>
        </w:rPr>
        <w:t>►</w:t>
      </w:r>
      <w:r w:rsidRPr="00154B66">
        <w:rPr>
          <w:rFonts w:ascii="Verdana" w:hAnsi="Verdana"/>
          <w:color w:val="000000"/>
          <w:shd w:val="clear" w:color="auto" w:fill="FFFFFF"/>
        </w:rPr>
        <w:t>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Alteraciones no físicas del bien donado</w:t>
      </w:r>
      <w:r w:rsidRPr="00154B66">
        <w:rPr>
          <w:rFonts w:ascii="Verdana" w:hAnsi="Verdana"/>
          <w:color w:val="000000"/>
          <w:shd w:val="clear" w:color="auto" w:fill="FFFFFF"/>
        </w:rPr>
        <w:t>: Se incluyen todas aquellas alteraciones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no supongan un cambio del estado físico del bien donado, lo cual no siempre será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fácil de discernir. En general, puede decirse que mientras que las primeras hacen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referencia al estado o 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presencia </w:t>
      </w:r>
      <w:r w:rsidRPr="00154B66">
        <w:rPr>
          <w:rFonts w:ascii="Verdana" w:hAnsi="Verdana"/>
          <w:color w:val="000000"/>
          <w:shd w:val="clear" w:color="auto" w:fill="FFFFFF"/>
        </w:rPr>
        <w:t>física del bien, estas últimas se refieren más bien 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variaciones en el valor de los bienes por circunstancias extrínsecas o ajenas a su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materialidad</w:t>
      </w:r>
      <w:r w:rsidRPr="00154B66">
        <w:rPr>
          <w:rFonts w:ascii="Verdana" w:hAnsi="Verdana"/>
          <w:color w:val="000000"/>
          <w:shd w:val="clear" w:color="auto" w:fill="FFFFFF"/>
        </w:rPr>
        <w:t>, como, por ejemplo, recalificaciones urbanísticas, desarrollo turístico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zona, dotación de mejores servicios e infraestructuras, etc. Este tipo de alteraciones </w:t>
      </w:r>
      <w:r w:rsidRPr="00154B66">
        <w:rPr>
          <w:rFonts w:ascii="Verdana" w:hAnsi="Verdana"/>
          <w:b/>
          <w:bCs/>
          <w:i/>
          <w:iCs/>
          <w:color w:val="000000"/>
          <w:shd w:val="clear" w:color="auto" w:fill="FFFFFF"/>
        </w:rPr>
        <w:t>si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i/>
          <w:iCs/>
          <w:color w:val="000000"/>
          <w:shd w:val="clear" w:color="auto" w:fill="FFFFFF"/>
        </w:rPr>
        <w:t>se tendrán en cuenta al tiempo de valorar el bien donado 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y corren a cargo y riesgo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35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11" w:name="75"/>
            <w:bookmarkEnd w:id="11"/>
            <w:r w:rsidRPr="00154B66">
              <w:rPr>
                <w:rFonts w:ascii="Verdana" w:hAnsi="Verdana" w:cs="Arial"/>
                <w:b/>
                <w:bCs/>
              </w:rPr>
              <w:t>Page 75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75 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o beneficio no del donatario como en el caso de la alteración del estado físico </w:t>
      </w:r>
      <w:r w:rsidRPr="00154B66">
        <w:rPr>
          <w:rFonts w:ascii="Verdana" w:hAnsi="Verdana"/>
          <w:b/>
          <w:bCs/>
          <w:i/>
          <w:iCs/>
          <w:color w:val="000000"/>
          <w:shd w:val="clear" w:color="auto" w:fill="FFFFFF"/>
        </w:rPr>
        <w:t>sino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i/>
          <w:iCs/>
          <w:color w:val="000000"/>
          <w:shd w:val="clear" w:color="auto" w:fill="FFFFFF"/>
        </w:rPr>
        <w:t>la masa partible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definitiva, para determinar el valor colacionables, no se tienen en cuenta las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alteraciones en el estado físico, pero sí todas las que no afecten al mismo. Se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entiende que en este caso más que alteraciones físicas son alteraciones en el valor.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Incluso la jurisprudencia es estricta en la apreciación de los cambios físicos. Así, una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STS de 17 diciembre 1992 ó de 10 de diciembre de 2009, ante un caso de una finca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donándose como rústica se recalificó luego en urbana, no estábamos ante un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cambio físico por lo que era colacionable el aumento de valor.22</w:t>
      </w:r>
    </w:p>
    <w:p w:rsidR="002D4F24" w:rsidRPr="00154B66" w:rsidRDefault="002D4F24" w:rsidP="00154B66">
      <w:pPr>
        <w:jc w:val="both"/>
        <w:rPr>
          <w:rFonts w:ascii="Verdana" w:hAnsi="Verdana"/>
          <w:color w:val="FF0000"/>
          <w:shd w:val="clear" w:color="auto" w:fill="FFFFFF"/>
        </w:rPr>
      </w:pPr>
      <w:r w:rsidRPr="00154B66">
        <w:rPr>
          <w:rFonts w:ascii="Verdana" w:hAnsi="Verdana"/>
          <w:b/>
          <w:bCs/>
          <w:color w:val="FF0000"/>
          <w:shd w:val="clear" w:color="auto" w:fill="FFFFFF"/>
        </w:rPr>
        <w:t>¿Qué se entiende por la expresión cuando “se evalúen los bienes hereditarios?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 discutido por la jurisprudencia. La STS 19 septiembre 1982 entiende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será cuando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se abra la sucesión, o sea al fallecimiento del causante.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Pero la STS 28 abril 1988, 19 marzo 1989, 17 diciembre 1992, atiende 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momento de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la tasación de los bienes, es decir, de la partición.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Según STS de 4 Dic. 2003, la frase 'al tiempo que se evalúen los bienes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hereditarios' significa que en circunstancias normales los bienes colacionables se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habrán de valorar al surgir el dato de la partición, pero si por cualquier evento dicha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partición - no ha podido ser hecha efectiva, 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la evaluación se deberá hacer efectiva en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el momento de practicar dicha partición.</w:t>
      </w:r>
    </w:p>
    <w:p w:rsidR="002D4F24" w:rsidRPr="00154B66" w:rsidRDefault="002D4F24" w:rsidP="00154B66">
      <w:pPr>
        <w:jc w:val="both"/>
        <w:rPr>
          <w:rFonts w:ascii="Verdana" w:hAnsi="Verdana"/>
          <w:color w:val="FF0000"/>
          <w:shd w:val="clear" w:color="auto" w:fill="FFFFFF"/>
        </w:rPr>
      </w:pPr>
      <w:r w:rsidRPr="00154B66">
        <w:rPr>
          <w:rFonts w:ascii="Verdana" w:hAnsi="Verdana"/>
          <w:b/>
          <w:bCs/>
          <w:color w:val="FF0000"/>
          <w:shd w:val="clear" w:color="auto" w:fill="FFFFFF"/>
        </w:rPr>
        <w:t>¿Qué criterio ha de aplicarse cuando se trata de donaciones de dinero?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Esta cuestión viene resuelta de manera muy clara en la STS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20 Junio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2005 </w:t>
      </w:r>
      <w:r w:rsidRPr="00154B66">
        <w:rPr>
          <w:rFonts w:ascii="Verdana" w:hAnsi="Verdana"/>
          <w:color w:val="000000"/>
          <w:shd w:val="clear" w:color="auto" w:fill="FFFFFF"/>
        </w:rPr>
        <w:t>que declara: “ el art.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1045 </w:t>
      </w:r>
      <w:r w:rsidRPr="00154B66">
        <w:rPr>
          <w:rFonts w:ascii="Verdana" w:hAnsi="Verdana"/>
          <w:color w:val="000000"/>
          <w:shd w:val="clear" w:color="auto" w:fill="FFFFFF"/>
        </w:rPr>
        <w:t>no contempla el caso concreto de donaciones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consistentes en sumas de dinero, por lo que no precisa si la colación ha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efectuarse por el valor nominal, o, por el contrario, atendiendo al valor real, 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decir la cantidad recibida pero actualizada.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Si bien algunos preceptos del Código Civil están presididos por el criterio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nominalista --arts. 1170 y 1753--, la de atender al valor real, ya que así resulta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del cambio legislativo que se operó en el art.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1045 </w:t>
      </w:r>
      <w:r w:rsidRPr="00154B66">
        <w:rPr>
          <w:rFonts w:ascii="Verdana" w:hAnsi="Verdana"/>
          <w:color w:val="000000"/>
          <w:shd w:val="clear" w:color="auto" w:fill="FFFFFF"/>
        </w:rPr>
        <w:t>por la reforma de 1981,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deja la determinación del valor de las donaciones recibidas para el momento en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                                                          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22 No obstante a pesar de parecer un criterio claro alguna sentencia lo enturbia. Así, la STS de 10 de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diciembre de 2009, declara que de la interpretación del artículo 1045 Cc  se deriva que la valoración de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los bienes colacionables debe efectuarse en el momento de la división hereditaria, corriendo a cargo y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beneficio de la masa partible, los aumentos y deterioros físicos o no, incluso, cuando éstos se produzcan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por consecuencia de una actuación administrativa, 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siempre que no sean consecuencia de una actividad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decisiva, exclusiva y determinante de su titular. </w:t>
      </w:r>
      <w:r w:rsidRPr="00154B66">
        <w:rPr>
          <w:rFonts w:ascii="Verdana" w:hAnsi="Verdana"/>
          <w:color w:val="000000"/>
          <w:shd w:val="clear" w:color="auto" w:fill="FFFFFF"/>
        </w:rPr>
        <w:t>Introduciendo un nuevo criterio; “la actividad decisiva y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exclusiva del titular”. Aunque me parece un criterio incorrecto tratándose de aumentos o deterioros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físicos en los que el 1045.2 CC incluye los cambios casual y culpable. También llama la atención que la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STS 22 febrero 2006 se fije en el valor del bien donado al tiempo de la donación, pero actualizando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dicho valor al momento en que se evalúen los bienes hereditarios.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  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36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12" w:name="76"/>
            <w:bookmarkEnd w:id="12"/>
            <w:r w:rsidRPr="00154B66">
              <w:rPr>
                <w:rFonts w:ascii="Verdana" w:hAnsi="Verdana" w:cs="Arial"/>
                <w:b/>
                <w:bCs/>
              </w:rPr>
              <w:t>Page 76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76 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se evalúen los bienes que integran la herencia del causante-donante, por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lo que procede es la actualización monetaria del valor efectivo de las sumas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donadas, o, en otras palabras, ha de atenderse en el momento de la colación 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valor real, que no es otro que las cantidades que igualen el poder adquisitivo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tenían las sumas entregadas cuando se hizo la donación, pues este es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criterio general del art.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1045</w:t>
      </w:r>
      <w:r w:rsidRPr="00154B66">
        <w:rPr>
          <w:rFonts w:ascii="Verdana" w:hAnsi="Verdana"/>
          <w:color w:val="000000"/>
          <w:shd w:val="clear" w:color="auto" w:fill="FFFFFF"/>
        </w:rPr>
        <w:t>. Además se apoya en que coherederos resultarían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perjudicados si se tuviera en cuenta el valor nominal y no el valor real, lo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no se acomoda a la equidad ni a la voluntad de la testadora que instituyó a sus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cinco hijos, como herederos por partes iguales, como tampoco a la legalidad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sucesoria desde el momento que los arts. 1047 y 1048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CC </w:t>
      </w:r>
      <w:r w:rsidRPr="00154B66">
        <w:rPr>
          <w:rFonts w:ascii="Verdana" w:hAnsi="Verdana"/>
          <w:color w:val="000000"/>
          <w:shd w:val="clear" w:color="auto" w:fill="FFFFFF"/>
        </w:rPr>
        <w:t>contemplan los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medios e instrumentos para que los herederos reciban cuotas equivalentes.”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Esta es también la postura de la doctrina. Así, LACRUZ y SANCHO entienden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que, aun cuando del texto legal no puede deducirse una norma clara 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respecto, si se tiene en cuenta el criterio marcado por el legislador y la finalidad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perseguida, la opinión parece favorable a la revalorización de las donaciones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hechas en dinero. Según esta opinión, para colacionar la cantidad donada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habrá que tener en cuenta el poder adquisitivo de dicha cantidad al tiempo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la donación y traducir ese poder adquisitivo a la moneda actual</w:t>
      </w:r>
      <w:r w:rsidRPr="00154B66">
        <w:rPr>
          <w:rFonts w:ascii="Verdana" w:hAnsi="Verdana"/>
          <w:color w:val="000000"/>
          <w:shd w:val="clear" w:color="auto" w:fill="FFFFFF"/>
        </w:rPr>
        <w:t>: el resultado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será la suma colacionable.</w:t>
      </w:r>
    </w:p>
    <w:p w:rsidR="002D4F24" w:rsidRPr="00154B66" w:rsidRDefault="002D4F24" w:rsidP="00154B66">
      <w:pPr>
        <w:jc w:val="both"/>
        <w:rPr>
          <w:rFonts w:ascii="Verdana" w:hAnsi="Verdana"/>
          <w:color w:val="FF0000"/>
          <w:shd w:val="clear" w:color="auto" w:fill="FFFFFF"/>
        </w:rPr>
      </w:pPr>
      <w:r w:rsidRPr="00154B66">
        <w:rPr>
          <w:rFonts w:ascii="Verdana" w:hAnsi="Verdana"/>
          <w:color w:val="FF0000"/>
          <w:shd w:val="clear" w:color="auto" w:fill="FFFFFF"/>
        </w:rPr>
        <w:t>¿Qué ocurre cuando el donatario ha vendido el bien donado antes de la</w:t>
      </w:r>
    </w:p>
    <w:p w:rsidR="002D4F24" w:rsidRPr="00154B66" w:rsidRDefault="002D4F24" w:rsidP="00154B66">
      <w:pPr>
        <w:jc w:val="both"/>
        <w:rPr>
          <w:rFonts w:ascii="Verdana" w:hAnsi="Verdana"/>
          <w:color w:val="FF0000"/>
          <w:shd w:val="clear" w:color="auto" w:fill="FFFFFF"/>
        </w:rPr>
      </w:pPr>
      <w:r w:rsidRPr="00154B66">
        <w:rPr>
          <w:rFonts w:ascii="Verdana" w:hAnsi="Verdana"/>
          <w:color w:val="FF0000"/>
          <w:shd w:val="clear" w:color="auto" w:fill="FFFFFF"/>
        </w:rPr>
        <w:t>colación?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aplicación de la regla del artículo 1.045 puede tener consecuencias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injustas en algún caso: concretamente cuando el heredero donatario hubiese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vendido los bienes recibidos con anterioridad a la apertura de la sucesión y a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evaluación de los bienes hereditarios, pues puede suceder que el valor actual -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estando ya los bienes en poder de un tercero- haya sufrido un alza más 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menos considerable, que indudablemente no beneficia al heredero-donatario,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percibió el precio de los bienes recibidos. Si la estimación de los bienes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donados se hace según el valor que los bienes tienen ahora, cuando ya no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estaban en el patrimonio del heredero, parece que el mayor valor alcanzado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por los bienes lo sufrirá el heredero-donatario, sin haber obtenido beneficio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alguno de ese plus-valor que los bienes han experimentado.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Acaso, cabría una aplicación menos rigurosa del criterio del Código,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refiriendo el valor colacionable al precio realmente obtenido por la venta,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momento en que -teóricamente, al menos- tuvo lugar la estimación de los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bienes donados en el patrimonio del heredero (solución que adopta el </w:t>
      </w:r>
      <w:r w:rsidRPr="00154B66">
        <w:rPr>
          <w:rFonts w:ascii="Verdana" w:hAnsi="Verdana"/>
          <w:color w:val="0000FF"/>
          <w:shd w:val="clear" w:color="auto" w:fill="FFFFFF"/>
        </w:rPr>
        <w:t>Código</w:t>
      </w:r>
    </w:p>
    <w:p w:rsidR="002D4F24" w:rsidRPr="00154B66" w:rsidRDefault="002D4F24" w:rsidP="00154B66">
      <w:pPr>
        <w:jc w:val="both"/>
        <w:rPr>
          <w:rFonts w:ascii="Verdana" w:hAnsi="Verdana"/>
          <w:color w:val="0000FF"/>
          <w:shd w:val="clear" w:color="auto" w:fill="FFFFFF"/>
        </w:rPr>
      </w:pPr>
      <w:r w:rsidRPr="00154B66">
        <w:rPr>
          <w:rFonts w:ascii="Verdana" w:hAnsi="Verdana"/>
          <w:color w:val="0000FF"/>
          <w:shd w:val="clear" w:color="auto" w:fill="FFFFFF"/>
        </w:rPr>
        <w:t>civil </w:t>
      </w:r>
      <w:r w:rsidRPr="00154B66">
        <w:rPr>
          <w:rFonts w:ascii="Verdana" w:hAnsi="Verdana"/>
          <w:color w:val="000000"/>
          <w:shd w:val="clear" w:color="auto" w:fill="FFFFFF"/>
        </w:rPr>
        <w:t>suizo).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Cierto que la dificultad práctica estriba en la prueba del precio realmente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percibido por el donatario-vendedor, pero acaso podría obviarse utilizando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propio criterio del Código: la valoración actual de los bienes donados en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estado que tenían entonces (cuando la donación se hizo), pero traducido 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valor que los bienes tenían en su mismo estado, cuando fueron vendidos.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cualquier caso, hay que reconocer que tal criterio no cumple con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precepto que ordena valorar «al tiempo en que se evalúan los bienes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hereditarios». O incluso en nuestro ordenamiento jurídico, el primer párrafo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Ley 335 de la Compilación Navarra, permite la venta del bien donado,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aunque fija el valor de los bienes colacionables al tiempo de la muerte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causante, háyanse o no vendido con anterioridad.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37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13" w:name="77"/>
            <w:bookmarkEnd w:id="13"/>
            <w:r w:rsidRPr="00154B66">
              <w:rPr>
                <w:rFonts w:ascii="Verdana" w:hAnsi="Verdana" w:cs="Arial"/>
                <w:b/>
                <w:bCs/>
              </w:rPr>
              <w:t>Page 77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77 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FF0000"/>
          <w:shd w:val="clear" w:color="auto" w:fill="FFFFFF"/>
        </w:rPr>
      </w:pPr>
      <w:r w:rsidRPr="00154B66">
        <w:rPr>
          <w:rFonts w:ascii="Verdana" w:hAnsi="Verdana"/>
          <w:color w:val="FF0000"/>
          <w:shd w:val="clear" w:color="auto" w:fill="FFFFFF"/>
        </w:rPr>
        <w:t>¿Puede el donante determinar la valoración a los efectos de la colación?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 opinión común que si el donante puede dispensar de la obligación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colacionar (art. 1.036 Cc.) con más fundamento podrá determinar el valor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bien a los efectos de la colación o fijar las reglas conforme a las que se debe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debe determinar dicho valor. Podrá hacerlo tanto al tiempo de la donación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como en testamento. Esta posibilidad debe entenderse independiente de las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valoraciones a los efectos de fijar las legítimas, pues respecto éstas se debe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atender al valor real.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Así lo admite STS 10 dic 2009, en la que en supuesto de hecho el testador en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su testamento ordenó que se valorara el bien donado al tiempo de la donación.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ese momento era un solar que luego se recalificó.</w:t>
      </w:r>
    </w:p>
    <w:p w:rsidR="002D4F24" w:rsidRPr="00154B66" w:rsidRDefault="002D4F24" w:rsidP="00154B66">
      <w:pPr>
        <w:jc w:val="both"/>
        <w:rPr>
          <w:rFonts w:ascii="Verdana" w:hAnsi="Verdana"/>
          <w:color w:val="FF0000"/>
          <w:shd w:val="clear" w:color="auto" w:fill="FFFFFF"/>
        </w:rPr>
      </w:pPr>
      <w:r w:rsidRPr="00154B66">
        <w:rPr>
          <w:rFonts w:ascii="Verdana" w:hAnsi="Verdana"/>
          <w:color w:val="FF0000"/>
          <w:shd w:val="clear" w:color="auto" w:fill="FFFFFF"/>
        </w:rPr>
        <w:t>Problema de Derecho transitorio.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 el caso de donaciones realizadas antes de la Ley 13 de mayo 198123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pero que deben ser colacionadas después de la entrada en vigor de la misma.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doctrina propone dos posibles soluciones: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MS Mincho" w:eastAsia="MS Mincho" w:hAnsi="MS Mincho" w:cs="MS Mincho" w:hint="eastAsia"/>
          <w:color w:val="000000"/>
          <w:shd w:val="clear" w:color="auto" w:fill="FFFFFF"/>
        </w:rPr>
        <w:t>➢</w:t>
      </w:r>
      <w:r w:rsidRPr="00154B66">
        <w:rPr>
          <w:rFonts w:ascii="Verdana" w:hAnsi="Verdana"/>
          <w:color w:val="000000"/>
          <w:shd w:val="clear" w:color="auto" w:fill="FFFFFF"/>
        </w:rPr>
        <w:t xml:space="preserve"> VALLET: Habrá de seguirse el criterio normativo anterior a la reforma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conforme dictan las disposiciones transitorias del CC (Disposición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Transitoria general, una y doce).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MS Mincho" w:eastAsia="MS Mincho" w:hAnsi="MS Mincho" w:cs="MS Mincho" w:hint="eastAsia"/>
          <w:color w:val="000000"/>
          <w:shd w:val="clear" w:color="auto" w:fill="FFFFFF"/>
        </w:rPr>
        <w:t>➢</w:t>
      </w:r>
      <w:r w:rsidRPr="00154B66">
        <w:rPr>
          <w:rFonts w:ascii="Verdana" w:hAnsi="Verdana"/>
          <w:color w:val="000000"/>
          <w:shd w:val="clear" w:color="auto" w:fill="FFFFFF"/>
        </w:rPr>
        <w:t xml:space="preserve"> Para otros, no hay que olvidar que la colación se desenvuelve en sede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sucesiones, y que en esta materia la DT 8ªde la Ley 13 de mayo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1981 establece que las sucesiones abiertas antes de entrar en vigor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dicha Ley se regirán por la legislación anterior. Mientras que las abiertas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después se regirán por la nueva legislación. Puede argumentarse 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favor de esta tesis de que se trata de valorar el bien donado; y que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donación es un negocio jurídico perfecto realizado al amparo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vigencia del anterior texto. Sin embargo, la colación se desarrolla en un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marco sucesorio y se refleja en un proceso particional, por eso parece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más correcto aplicar la DT 8ª, máxime cuando la obligación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colacionar sólo nace, por la aceptación, desde la apertura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sucesión.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CARLOS PÉREZ RAMOS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Notario de Montellano (Sevilla). 25 de febrero 2010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¿Puede delegarse en el consejero delegado la facultad de convocar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junta general?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PLANTEAMIENTO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                                                          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23 Que atendía al valor de lo donado al tiempo de la donación. 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38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14" w:name="78"/>
            <w:bookmarkEnd w:id="14"/>
            <w:r w:rsidRPr="00154B66">
              <w:rPr>
                <w:rFonts w:ascii="Verdana" w:hAnsi="Verdana" w:cs="Arial"/>
                <w:b/>
                <w:bCs/>
              </w:rPr>
              <w:t>Page 78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78 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 una cuestión discutida por la jurisprudencia y la doctrina.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Se ha 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admitido </w:t>
      </w:r>
      <w:r w:rsidRPr="00154B66">
        <w:rPr>
          <w:rFonts w:ascii="Verdana" w:hAnsi="Verdana"/>
          <w:color w:val="000000"/>
          <w:shd w:val="clear" w:color="auto" w:fill="FFFFFF"/>
        </w:rPr>
        <w:t>por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alguna Sentencia del Tribunal Supremo, como la de 3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de diciembre de 2002</w:t>
      </w:r>
      <w:r w:rsidRPr="00154B66">
        <w:rPr>
          <w:rFonts w:ascii="Verdana" w:hAnsi="Verdana"/>
          <w:color w:val="000000"/>
          <w:shd w:val="clear" w:color="auto" w:fill="FFFFFF"/>
        </w:rPr>
        <w:t>, y sobre todo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por la DGRN, entre otras, en las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Resoluciones de 20 de marzo de 1991, 7 de diciembre de 1993, 11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marzo y 22 de noviembre de 1999, </w:t>
      </w:r>
      <w:r w:rsidRPr="00154B66">
        <w:rPr>
          <w:rFonts w:ascii="Verdana" w:hAnsi="Verdana"/>
          <w:color w:val="000000"/>
          <w:shd w:val="clear" w:color="auto" w:fill="FFFFFF"/>
        </w:rPr>
        <w:t>llegando esta última a precisar que tal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delegación 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no necesita ser específica por estar tal facultad comprendida en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genérica de todas las legalmente delegables</w:t>
      </w:r>
      <w:r w:rsidRPr="00154B66">
        <w:rPr>
          <w:rFonts w:ascii="Verdana" w:hAnsi="Verdana"/>
          <w:color w:val="000000"/>
          <w:shd w:val="clear" w:color="auto" w:fill="FFFFFF"/>
        </w:rPr>
        <w:t>. Y más recientemente en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Resolución de 8 de marzo de 2005.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No obstante,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el Tribunal Supremo</w:t>
      </w:r>
      <w:r w:rsidRPr="00154B66">
        <w:rPr>
          <w:rFonts w:ascii="Verdana" w:hAnsi="Verdana"/>
          <w:color w:val="000000"/>
          <w:shd w:val="clear" w:color="auto" w:fill="FFFFFF"/>
        </w:rPr>
        <w:t>, en varias Sentencias, como la 4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diciembre de 2002, 14 de marzo de 2005 (número 160 y número 161), y de 30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octubre 2009,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niega que pueda delegarse en el Consejero delegado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facultad de convocar la Junta General</w:t>
      </w:r>
      <w:r w:rsidRPr="00154B66">
        <w:rPr>
          <w:rFonts w:ascii="Verdana" w:hAnsi="Verdana"/>
          <w:color w:val="000000"/>
          <w:shd w:val="clear" w:color="auto" w:fill="FFFFFF"/>
        </w:rPr>
        <w:t>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mayoría de la doctrina admite la delegación, aunque no faltan autores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la nieguen24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ARGUMENTOS QUE PUEDEN SUSTENTAR UNA U OTRA SOLUCIÓN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Times New Roman" w:hAnsi="Times New Roman"/>
          <w:b/>
          <w:bCs/>
          <w:color w:val="000000"/>
          <w:shd w:val="clear" w:color="auto" w:fill="FFFFFF"/>
        </w:rPr>
        <w:t>►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 xml:space="preserve"> A FAVOR DE QUE PUEDA DELGARSE </w:t>
      </w:r>
      <w:r w:rsidRPr="00154B66">
        <w:rPr>
          <w:rFonts w:ascii="Verdana" w:hAnsi="Verdana"/>
          <w:color w:val="000000"/>
          <w:shd w:val="clear" w:color="auto" w:fill="FFFFFF"/>
        </w:rPr>
        <w:t>pueden ofrecerse las siguientes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razones: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1ª </w:t>
      </w:r>
      <w:r w:rsidRPr="00154B66">
        <w:rPr>
          <w:rFonts w:ascii="Verdana" w:hAnsi="Verdana"/>
          <w:color w:val="000000"/>
          <w:shd w:val="clear" w:color="auto" w:fill="FFFFFF"/>
        </w:rPr>
        <w:t>La regla general es que el Consejo de Administración 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puede delegar todas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sus facultades </w:t>
      </w:r>
      <w:r w:rsidRPr="00154B66">
        <w:rPr>
          <w:rFonts w:ascii="Verdana" w:hAnsi="Verdana"/>
          <w:color w:val="000000"/>
          <w:shd w:val="clear" w:color="auto" w:fill="FFFFFF"/>
        </w:rPr>
        <w:t>en el Consejero Delegado; la excepción, aquellas facultades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ley entiende indelegables. De manera, que 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las posibles excepciones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debemos interpretarlas estrictamente.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2ª </w:t>
      </w:r>
      <w:r w:rsidRPr="00154B66">
        <w:rPr>
          <w:rFonts w:ascii="Verdana" w:hAnsi="Verdana"/>
          <w:color w:val="000000"/>
          <w:shd w:val="clear" w:color="auto" w:fill="FFFFFF"/>
        </w:rPr>
        <w:t>El artículo 141 LSA impide delegar la rendición de cuentas y la presentación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balances. Lógicamente, tampoco podrá delegarse la convocatoria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Junta General en cuyo orden del día figuren dichas actividades. Si no puede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Consejero Delegado presentar balances, tampoco podrá convocar la Junta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General que deba aprobarlos.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consecuencia es que fuera de este caso, podrá en los demás, convocar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Junta General.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3ª </w:t>
      </w:r>
      <w:r w:rsidRPr="00154B66">
        <w:rPr>
          <w:rFonts w:ascii="Verdana" w:hAnsi="Verdana"/>
          <w:color w:val="000000"/>
          <w:shd w:val="clear" w:color="auto" w:fill="FFFFFF"/>
        </w:rPr>
        <w:t>El 141 LSA no permite que se delegue aquellas facultades que la Junta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General haya atribuido al Consejo. La razón parece ser que se atribuyeron 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                                                          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24 Entre ellos Mª SAGRARIO NAVARRO LÉRIDA,  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39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15" w:name="79"/>
            <w:bookmarkEnd w:id="15"/>
            <w:r w:rsidRPr="00154B66">
              <w:rPr>
                <w:rFonts w:ascii="Verdana" w:hAnsi="Verdana" w:cs="Arial"/>
                <w:b/>
                <w:bCs/>
              </w:rPr>
              <w:t>Page 79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79 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Consejo en cuanto tal. Frente a esta afirmación debemos preguntarnos ¿A qué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conclusión nos lleva el 141 LSA?. La respuesta es que no se pueden delegar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aquellas facultades que en principio corresponde a la Junta General y no 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órgano de administración. Pero dando un paso más allá; serán delegables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todas aquellas facultades que en esencia corresponden al órgano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administración, en este caso el Consejo. Salvo las que con carácter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excepcional no permite el 141 LSA.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4ª </w:t>
      </w:r>
      <w:r w:rsidRPr="00154B66">
        <w:rPr>
          <w:rFonts w:ascii="Verdana" w:hAnsi="Verdana"/>
          <w:color w:val="000000"/>
          <w:shd w:val="clear" w:color="auto" w:fill="FFFFFF"/>
        </w:rPr>
        <w:t>Respecto a la jurisprudencia del Tribunal Supremo contraria a esta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posibilidad, algunos autores han puesto en relieve que no se encuentra en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dichas sentencias un argumento claro que justifique dicha postura25. Incluso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parece contradictoria26 con otra jurisprudencia como la emanada por la STS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5 de julio de 2007 en la que admitió la validez de la convocatoria de la Junta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General, y en consecuencia la no nulidad de los acuerdos por ella adoptados,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por el Presidente del consejo de administración cesante (aunque la dimisión no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constaba en el registro mercantil) y por el Presidente del Consejo entrante.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Justificándose la validez de la convocatoria en la Buena fe de los convocantes,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protección de los terceros de buena fe (fundamentalmente los propios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socios) y la perturbación que produce la nulidad de cualquier acuerdo (para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sociedad en particular y para el tráfico jurídico en general). Aunque, si bien 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cierto, que el supuesto de hecho de dicha sentencia, era el de una sociedad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estaba en una situación caótica, y todos los miembros del Consejo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administración habían renunciado a su cargo, y se convoca Junta General por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el Presidente del antiguo Consejo y por un sujeto que de facto se hizo cargo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presidencia y gestión de la sociedad.27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5ª </w:t>
      </w:r>
      <w:r w:rsidRPr="00154B66">
        <w:rPr>
          <w:rFonts w:ascii="Verdana" w:hAnsi="Verdana"/>
          <w:color w:val="000000"/>
          <w:shd w:val="clear" w:color="auto" w:fill="FFFFFF"/>
        </w:rPr>
        <w:t>En el órgano de administración hay que distinguir entre las 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facultades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representación y las de gestión</w:t>
      </w:r>
      <w:r w:rsidRPr="00154B66">
        <w:rPr>
          <w:rFonts w:ascii="Verdana" w:hAnsi="Verdana"/>
          <w:color w:val="000000"/>
          <w:shd w:val="clear" w:color="auto" w:fill="FFFFFF"/>
        </w:rPr>
        <w:t>; y dentro de las de gestión: las empresarias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(que comprenden la dirección del negocio) y las 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internas u organizativas </w:t>
      </w:r>
      <w:r w:rsidRPr="00154B66">
        <w:rPr>
          <w:rFonts w:ascii="Verdana" w:hAnsi="Verdana"/>
          <w:color w:val="000000"/>
          <w:shd w:val="clear" w:color="auto" w:fill="FFFFFF"/>
        </w:rPr>
        <w:t>(entre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las que se incluyen la convocatoria de la Junta General).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Pues bien, el art.141 LSA permite la delegación de las facultades del Consejo,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sin que expresamente se refiera a que únicamente serán delegables las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facultades de representación, o bien las de gestión encaminadas a la dirección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del negocio (empresariales) por lo que al no distinguir, debe entenderse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son delegables 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todas las facultades que como órgano de administración le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corresponden</w:t>
      </w:r>
      <w:r w:rsidRPr="00154B66">
        <w:rPr>
          <w:rFonts w:ascii="Verdana" w:hAnsi="Verdana"/>
          <w:color w:val="000000"/>
          <w:shd w:val="clear" w:color="auto" w:fill="FFFFFF"/>
        </w:rPr>
        <w:t>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                                                          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25 TOMASA HERNÁNDEZ MARTÍN. “La convocatoria de Junta General de accionistas por un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consejero delegado”. Revista Derecho de Sociedades.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26 TOMASA HERNÁNDEZ MARTÍN. “La convocatoria de Junta General de accionistas por un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consejero delegado”. Revista Derecho de Sociedades”.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27 Es un caso muy particular que se me ocurre se podría justificar por la doctrina del gestor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negocios ajenos sin mandato, entendiendo que la convocatoria de la Junta General es un acto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“redunda” en utilidad de la sociedad. Aunque entiendo que sería más prudente que una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vez renovado el consejo este acordara ratificar la convocatoria efectuada por el “administrador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hecho”. 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40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16" w:name="80"/>
            <w:bookmarkEnd w:id="16"/>
            <w:r w:rsidRPr="00154B66">
              <w:rPr>
                <w:rFonts w:ascii="Verdana" w:hAnsi="Verdana" w:cs="Arial"/>
                <w:b/>
                <w:bCs/>
              </w:rPr>
              <w:t>Page 80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80 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 cierto que excluye determinadas facultades que pueden incluirse entre las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gestión organizativa, pero no es menos cierto que 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no declara indelegables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las facultades de gestión organizativa</w:t>
      </w:r>
      <w:r w:rsidRPr="00154B66">
        <w:rPr>
          <w:rFonts w:ascii="Verdana" w:hAnsi="Verdana"/>
          <w:color w:val="000000"/>
          <w:shd w:val="clear" w:color="auto" w:fill="FFFFFF"/>
        </w:rPr>
        <w:t>, bien sea en sentido amplio, o a través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la enumeración pormenorizada de todas las facultades que tradicionalmente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se reputan como de gestión interna de la sociedad, lo cual podría llevarnos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incluso a defender su extensión, aunque sea analógica aduciendo un olvido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legislador, a la facultad de convocar la Junta General.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Times New Roman" w:hAnsi="Times New Roman"/>
          <w:b/>
          <w:bCs/>
          <w:color w:val="000000"/>
          <w:shd w:val="clear" w:color="auto" w:fill="FFFFFF"/>
        </w:rPr>
        <w:t>►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 xml:space="preserve"> EN CONTRA DE QUE PUEDA DELGARSE </w:t>
      </w:r>
      <w:r w:rsidRPr="00154B66">
        <w:rPr>
          <w:rFonts w:ascii="Verdana" w:hAnsi="Verdana"/>
          <w:color w:val="000000"/>
          <w:shd w:val="clear" w:color="auto" w:fill="FFFFFF"/>
        </w:rPr>
        <w:t>puede aducirse los siguientes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argumentos: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1º</w:t>
      </w:r>
      <w:r w:rsidRPr="00154B66">
        <w:rPr>
          <w:rFonts w:ascii="Verdana" w:hAnsi="Verdana"/>
          <w:color w:val="000000"/>
          <w:shd w:val="clear" w:color="auto" w:fill="FFFFFF"/>
        </w:rPr>
        <w:t>. Si por el 141 LSA no puede delegarse dichas competencias, menos aún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competencia vinculadas a la misma, como paso previo, la convocatoria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Junta General. El que no puede lo más ( la rendición de cuentas) tampoco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puede lo menos, la facultad de convocar la Junta General.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2º. </w:t>
      </w:r>
      <w:r w:rsidRPr="00154B66">
        <w:rPr>
          <w:rFonts w:ascii="Verdana" w:hAnsi="Verdana"/>
          <w:color w:val="000000"/>
          <w:shd w:val="clear" w:color="auto" w:fill="FFFFFF"/>
        </w:rPr>
        <w:t>Analizando el 141 LSA y las facultades indelegables llegamos a una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conclusión: es indelegable la esfera interna en lo relativo a la relación con los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socios y la sociedad; si en cambio la externa, la relación con los terceros, y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dentro de la interna, la relativa a la gestión, 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entendida como dirección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negocio</w:t>
      </w:r>
      <w:r w:rsidRPr="00154B66">
        <w:rPr>
          <w:rFonts w:ascii="Verdana" w:hAnsi="Verdana"/>
          <w:color w:val="000000"/>
          <w:shd w:val="clear" w:color="auto" w:fill="FFFFFF"/>
        </w:rPr>
        <w:t>. La razón de ser, es clara, la utilidad práctica, se quiere simplificar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actuaciones de gestión.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Al deducir que la interna no es delegable, menos aún, la facultad más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característica de relación con los socios, como es la convocatoria de la Junta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General.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3º. </w:t>
      </w:r>
      <w:r w:rsidRPr="00154B66">
        <w:rPr>
          <w:rFonts w:ascii="Verdana" w:hAnsi="Verdana"/>
          <w:color w:val="000000"/>
          <w:shd w:val="clear" w:color="auto" w:fill="FFFFFF"/>
        </w:rPr>
        <w:t>Relacionado con la idea anterior, se encuentra28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la función y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justificación de la delegación de facultades que puede acordar el consejo es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facilitar el funcionamiento del Consejo de Administración y conseguir una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gestión eficaz, lo implica que no es atribuible al consejero delegado aquellas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funciones, como es la de convocar la Junta General, que no son especialmente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complejas ni requieren tanta urgencia que haga inviable la convocatoria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consejo de administración.29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                                                          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28 Así lo sostiene Mª Sagrario NAVARRO LÉRIDA en “Convocatoria de la junta general de una sociedad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anónima por un consejero</w:t>
      </w:r>
      <w:r w:rsidRPr="00154B66">
        <w:rPr>
          <w:rFonts w:ascii="MS Mincho" w:eastAsia="MS Mincho" w:hAnsi="MS Mincho" w:cs="MS Mincho" w:hint="eastAsia"/>
          <w:color w:val="000000"/>
          <w:shd w:val="clear" w:color="auto" w:fill="FFFFFF"/>
        </w:rPr>
        <w:t>‐</w:t>
      </w:r>
      <w:r w:rsidRPr="00154B66">
        <w:rPr>
          <w:rFonts w:ascii="Verdana" w:hAnsi="Verdana"/>
          <w:color w:val="000000"/>
          <w:shd w:val="clear" w:color="auto" w:fill="FFFFFF"/>
        </w:rPr>
        <w:t>delegado en un consejo de administración de dos miembros. Comentario a la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STS de 4 de diciembre de 2002”. Revista Derecho de Sociedades, núm 21, 2003. 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29  Así,  RODRÍGUEZ  ARTIGAS  citado  por  Mª  Sagrario  NAVARRO  LÉRIDA  en  “Convocatoria  de  la  junta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general de una sociedad anónima por un consejero</w:t>
      </w:r>
      <w:r w:rsidRPr="00154B66">
        <w:rPr>
          <w:rFonts w:ascii="MS Mincho" w:eastAsia="MS Mincho" w:hAnsi="MS Mincho" w:cs="MS Mincho" w:hint="eastAsia"/>
          <w:color w:val="000000"/>
          <w:shd w:val="clear" w:color="auto" w:fill="FFFFFF"/>
        </w:rPr>
        <w:t>‐</w:t>
      </w:r>
      <w:r w:rsidRPr="00154B66">
        <w:rPr>
          <w:rFonts w:ascii="Verdana" w:hAnsi="Verdana"/>
          <w:color w:val="000000"/>
          <w:shd w:val="clear" w:color="auto" w:fill="FFFFFF"/>
        </w:rPr>
        <w:t>delegado en un consejo de administración de dos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miembros. Comentario a la STS de 4 de diciembre de 2002”. Revista Derecho de Sociedades, núm 21,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2003.  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41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17" w:name="81"/>
            <w:bookmarkEnd w:id="17"/>
            <w:r w:rsidRPr="00154B66">
              <w:rPr>
                <w:rFonts w:ascii="Verdana" w:hAnsi="Verdana" w:cs="Arial"/>
                <w:b/>
                <w:bCs/>
              </w:rPr>
              <w:t>Page 81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81 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3º. </w:t>
      </w:r>
      <w:r w:rsidRPr="00154B66">
        <w:rPr>
          <w:rFonts w:ascii="Verdana" w:hAnsi="Verdana"/>
          <w:color w:val="000000"/>
          <w:shd w:val="clear" w:color="auto" w:fill="FFFFFF"/>
        </w:rPr>
        <w:t>El argumento esencial de la tesis contraria, es apoyarse en el art.4 Cc y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interpretar las excepciones a la delegación restrictivamente. Pero,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precisamente es lo contrario, lo excepcional no es que se limite la delegación,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sino la delegación misma. La sociedad en sus estatutos o en Junta General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quiso que su administrador fuera un Consejo de de Administración, que actuara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conjuntamente. Lo excepcional será que se permita el Consejero Dellegado;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cual hace que se aproxime la administración a la hipótesis de un administrador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único.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Carlos Pérez Ramos. Notario de Montellano (Sevilla). 17 de diciembre 2009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PROBLEMAS QUE PUEDEN PLANTEARSE EN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TRANSMISION DE ACCIONES Y PARTICIPACIONES SOCIALES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Primera Parte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CONYUGES CASADOS EN GANANCIALES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- En cuanto a la participación social al no ser un valor, como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aclara tajantemente el art. 5.2 LSRL, no cabe aplicar el 1384 CC,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sí admite la transmisión de acciones por el cónyuge a cuyo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nombre figuren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- En cuanto a la venta de acciones gananciales no impresas ni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entregadas: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· algunos como DIEZ-PICAZO admiten que sólo consienta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cónyuge a cuyo nombre figuren por aplicación analógica del 1384 y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del art. 1.385 CC, relativo a los derechos de crédito.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·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en contra</w:t>
      </w:r>
      <w:r w:rsidRPr="00154B66">
        <w:rPr>
          <w:rFonts w:ascii="Verdana" w:hAnsi="Verdana"/>
          <w:color w:val="000000"/>
          <w:shd w:val="clear" w:color="auto" w:fill="FFFFFF"/>
        </w:rPr>
        <w:t>, otros como MARTINEZ GIL entienden que no se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aplica el art. 1384 ya que al no existir título desaparece la razón a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excepción de la codisposición, que no es más que la simplificación y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agilidad en la transmisión de los derechos que se incorporan a un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título-valor; ni el 1385, ya que ni se trata de un simple crédito, sino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una entera posición contractual que comporta también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obligaciones, la ratio de este precepto es muy distinta, esto es,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facilitar el ejercicio de los derechos de crédito; y finalmente, 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discutible que los actos transmisivos pueden entenderse incluidos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dentro de los actos de “ejercicio”.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MENORES DE EDAD SUJETOS A PATRIA POTESTAD 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TUTELA, </w:t>
      </w:r>
      <w:r w:rsidRPr="00154B66">
        <w:rPr>
          <w:rFonts w:ascii="Verdana" w:hAnsi="Verdana"/>
          <w:color w:val="000000"/>
          <w:shd w:val="clear" w:color="auto" w:fill="FFFFFF"/>
        </w:rPr>
        <w:t>hay que destacar dos cuestiones: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42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18" w:name="82"/>
            <w:bookmarkEnd w:id="18"/>
            <w:r w:rsidRPr="00154B66">
              <w:rPr>
                <w:rFonts w:ascii="Verdana" w:hAnsi="Verdana" w:cs="Arial"/>
                <w:b/>
                <w:bCs/>
              </w:rPr>
              <w:t>Page 82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82 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- Tratándose de un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contrato de gestión de cartera de valores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discrecional</w:t>
      </w:r>
      <w:r w:rsidRPr="00154B66">
        <w:rPr>
          <w:rFonts w:ascii="Verdana" w:hAnsi="Verdana"/>
          <w:color w:val="000000"/>
          <w:shd w:val="clear" w:color="auto" w:fill="FFFFFF"/>
        </w:rPr>
        <w:t>, que como tal faculta al gestor para disponer de los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mismos, CASTÁN PÉREZ-GOMÉZ, entiende que no es precisa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autorización judicial de los arts. 166 y 271CC (y análogos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derecho catalán, aragonés y navarro), ya que el acto de disposición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no se contempla aisladamente, sino en relación con la cartera en su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conjunto, donde juega el principio de subrogación real y en ningún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caso supone una delegación de la patria potestad, al ser meros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actos instrumentales en relación con los fines pactados con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gestor de la cartera.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- </w:t>
      </w:r>
      <w:r w:rsidRPr="00154B66">
        <w:rPr>
          <w:rFonts w:ascii="Verdana" w:hAnsi="Verdana"/>
          <w:color w:val="000000"/>
          <w:shd w:val="clear" w:color="auto" w:fill="FFFFFF"/>
        </w:rPr>
        <w:t>Por otro lado, se plantea si es necesario autorización judicial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para la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venta de participaciones sociales del menor de edad por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sus padres o tutores, </w:t>
      </w:r>
      <w:r w:rsidRPr="00154B66">
        <w:rPr>
          <w:rFonts w:ascii="Verdana" w:hAnsi="Verdana"/>
          <w:color w:val="000000"/>
          <w:shd w:val="clear" w:color="auto" w:fill="FFFFFF"/>
        </w:rPr>
        <w:t>ya que los arts. 166 y 271 CC, a diferencia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del derecho catalán, sólo exigen autorización judicial para enajenar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 gravar valores mobiliarios y aquellas, como sabemos, no lo son.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Pues bien: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a) si se interpreta restrictivamente el precepto por ser una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norma prohibitiva parece que no se precisa autorización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b) sin embargo, otros autores, como Ignacio MARTÍNEZ-GIL 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MENESES, creen que la exigencia de autorización judicial resulta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- una interpretación según la realidad social del tiempo y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finalidad de la norma, que es la protección del patrimonio del menor,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ya que hoy por hoy es extraordinaria la importancia de los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patrimonios mobiliarios.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- del hecho de que, caso contrario, se podría soslayar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indirectamente la prohibición de enajenación de inmuebles incluidos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el activo de la SL de que se trate.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- de la consideración de que también pudieran ser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consideradas las participaciones sociales “objetos preciosos” en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sentido que apuntan los arts. 378.2º y 352 del CC como bienes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extraordinario valor en relación con el patrimonio del menor 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incapaz.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misma discusión se plantea en el caso de que se trate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acciones que no están impresas ni entregadas.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43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19" w:name="83"/>
            <w:bookmarkEnd w:id="19"/>
            <w:r w:rsidRPr="00154B66">
              <w:rPr>
                <w:rFonts w:ascii="Verdana" w:hAnsi="Verdana" w:cs="Arial"/>
                <w:b/>
                <w:bCs/>
              </w:rPr>
              <w:t>Page 83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83 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MENORES EMANCIPADOS </w:t>
      </w:r>
      <w:r w:rsidRPr="00154B66">
        <w:rPr>
          <w:rFonts w:ascii="Verdana" w:hAnsi="Verdana"/>
          <w:color w:val="000000"/>
          <w:shd w:val="clear" w:color="auto" w:fill="FFFFFF"/>
        </w:rPr>
        <w:t>rigen las limitaciones de los arts.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323 y 324 Cc: no necesitará consentimiento de sus padres o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curador, salvo si las considera asimiladas a establecimientos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mercantiles o industriales u objetos de extraordinario valor.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TRANSMISION DE PARTICIPACIONES EN DOCUMENTO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PRIVADO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Como sabemos el art. 26 LSRl dice que la transmisión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participaciones “deberá constar en documento público”.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cuanto la exigencia de documento público, rechazada hoy la tesis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tradicional que la conceptúa como forma “ad solemnitatem”,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entendemos que es una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forma “de valer” </w:t>
      </w:r>
      <w:r w:rsidRPr="00154B66">
        <w:rPr>
          <w:rFonts w:ascii="Verdana" w:hAnsi="Verdana"/>
          <w:color w:val="000000"/>
          <w:shd w:val="clear" w:color="auto" w:fill="FFFFFF"/>
        </w:rPr>
        <w:t>y por tanto cabría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venta en documento privado sin perjuicio de poder compelerse las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partes para su elevación a público ex art. 1280CC, y teniendo en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cuenta que la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fecha relevante </w:t>
      </w:r>
      <w:r w:rsidRPr="00154B66">
        <w:rPr>
          <w:rFonts w:ascii="Verdana" w:hAnsi="Verdana"/>
          <w:color w:val="000000"/>
          <w:shd w:val="clear" w:color="auto" w:fill="FFFFFF"/>
        </w:rPr>
        <w:t>a efectos de la sociedad y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terceros es la de la escritura.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Además, tratándose de participaciones sociales, el art. 26.3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LSRL considera suficiente que la sociedad conozca la transmisión 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efectos del ejercicio de los derechos de socios, por lo que el Libro-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Registro de Socios es un registro meramente informativo, pero no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legitimador, de ahí que no sea conveniente notarialmente suplir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exhibición del título adquisitivo por una certificación del Libro.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VALORACION DE LAS PARTICIPACIONES. </w:t>
      </w:r>
      <w:r w:rsidRPr="00154B66">
        <w:rPr>
          <w:rFonts w:ascii="Verdana" w:hAnsi="Verdana"/>
          <w:color w:val="000000"/>
          <w:shd w:val="clear" w:color="auto" w:fill="FFFFFF"/>
        </w:rPr>
        <w:t>(resumen de un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artículo de JUAN PEREZ HEREZA)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Vamos a plantear la cuestión de si son posibles las clausulas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estatutarias que establezcan criterios que se aparten del valor real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las participaciones, bien por el establecimiento de criterios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objetivos (normalmente el valor contable) o el establecimiento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primas o descuentos sobre el valor real.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El TS no se ha pronunciado de forma unánime; sin embargo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DGRN ha construido una doctrina consolidada que reconoce el dº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del socio a obtener el valor razonable de sus participaciones. El art.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29.2 comienza diciendo “a falta de regulación estatutaria”, pero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libertad debe tener como límite el valor real.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44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20" w:name="84"/>
            <w:bookmarkEnd w:id="20"/>
            <w:r w:rsidRPr="00154B66">
              <w:rPr>
                <w:rFonts w:ascii="Verdana" w:hAnsi="Verdana" w:cs="Arial"/>
                <w:b/>
                <w:bCs/>
              </w:rPr>
              <w:t>Page 84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84 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Este criterio, además, parece venir reforzado por la Ley 44/2002,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para los supuestos de separación, exclusión y ejercicio de dº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adquisición preferente en las transmisiones mortis causa o en caso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ejercicio de adquisición preferente, parece imponer la valoración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por un auditor de cuentas distinto de la sociedad.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Todos estos argumentos parecen llevar a la conclusión de que si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libertad estatutaria tiene como límite los principios configuradores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la sociedad limitada, dentro de éstos está el principio de respecto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al valor real.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Ahora bien, este criterio ha sido criticado por autores, teniendo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cuenta además que la Ley 2/2007 de sociedades profesionales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su art, 16 dispone que “El contrato social podrá establecer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libremente criterios de valoración o cálculo con arreglo a los cuales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haya de fijarse el importe de la cuota de liquidación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corresponda a las participaciones del socio separado o excluido, así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como en los casos de transmisión mortis causa o forzosa cuando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proceda”.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Y el RD 9 febrero de 2007 por el que se regulan la publicidad de los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protocolos familiares permite que en la SA y SL pueda constar en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inscripción el establecimiento por pacto unánime entre los socios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los criterios o sistemas para la determinación previa del valor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razonable.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Siguiendo a JUAN PEREZ HEREZA vamos a diferenciar los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siguientes supuestos: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SA </w:t>
      </w:r>
      <w:r w:rsidRPr="00154B66">
        <w:rPr>
          <w:rFonts w:ascii="Verdana" w:hAnsi="Verdana"/>
          <w:color w:val="000000"/>
          <w:shd w:val="clear" w:color="auto" w:fill="FFFFFF"/>
        </w:rPr>
        <w:t>es la sociedad capitalista por excelencia, donde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aportación social es la obligación fundamental del socio y cuyo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régimen gira en torno a ella. Desde esta perspectiva cobra sentido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el socio pueda abandonar libremente la sociedad mediante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transmisión de sus acciones y que en los casos excepcionales en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los que se limita esta posibilidad se proteja su interés patrimonial 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recibir su cuota en el haber social. Así, pese a su escaso rango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reglamentario, lo consagra el art. 123.6 RRM.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 evidente que en la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SL </w:t>
      </w:r>
      <w:r w:rsidRPr="00154B66">
        <w:rPr>
          <w:rFonts w:ascii="Verdana" w:hAnsi="Verdana"/>
          <w:color w:val="000000"/>
          <w:shd w:val="clear" w:color="auto" w:fill="FFFFFF"/>
        </w:rPr>
        <w:t>prima más el elemento personalista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justifica el carácter cerrado de la sociedad y el papel predominante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la autonomía de la voluntad a través de la autorregulación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45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21" w:name="85"/>
            <w:bookmarkEnd w:id="21"/>
            <w:r w:rsidRPr="00154B66">
              <w:rPr>
                <w:rFonts w:ascii="Verdana" w:hAnsi="Verdana" w:cs="Arial"/>
                <w:b/>
                <w:bCs/>
              </w:rPr>
              <w:t>Page 85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85 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estatutaria para adaptar en cada caso la estructura societaria a su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sustrato personal.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Así, en este caso, el régimen de la SA no puede sin más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extrapolarse a la SRL.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Vamos a diferenciar los distintos supuestos: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TRANSMISIÓN INTERVIVOS DE PARTICIPACIONES. La DGRN (y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un sector de la doctrina) ha argumentado en contra de la libertad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estatutaria que un sistema que impide al socio obtener el valor real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sus participaciones: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1.- Implicaría una prohibición indirecta de disponer sin las garantías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del art. 30.3 de la Ley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2.- Supone atribuir a los demás socios la facultad de obtener un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enriquecimiento injusto o sin causa.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relación al 1er argumento, si bien puede desincentivar 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transmitir, ello ocurre con cualquier transmisión y estas se admiten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la SL y ello es porque el legislador considera que pueden servir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al interés social (normalmente la conservación del sustrato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personal).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cuanto al enriquecimiento injusto, JUAN PEREZ opina que 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dudoso que exista, pues el abandono voluntario de la sociedad,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supondrá normalmente un perjuicio para el resto de los socios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(mayor cuando más importante sea la permanencia del socio en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sociedad), por lo que no es descabellado que ese perjuicio sea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resarcido mediante la retención por parte de los socios restantes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un porcentaje de los beneficios sociales.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Además, si en virtud de la libertad contractual, en caso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transmisión el art. 29.2 dice que el precio de adquisición será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fijado libremente por las partes, ¿por qué tienen que variar las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conclusiones si el acuerdo se incorpora a unos estatutos? Opina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JUAN PEREZ HEREZA que en caso de preverse en los estatutos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vincularía a los socios fundadores. En caso de los socios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adquirentes, si se asimila la transmisión a la cesión de un contrato,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el nuevo socio se subroga en la posición contractual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transmitente. En caso de modificación sobrevenida mediante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modificación estatutaria, es dudoso que baste el acuerdo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mayoría, sería aplicable el art. 71 al tratarse de una modificación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46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22" w:name="86"/>
            <w:bookmarkEnd w:id="22"/>
            <w:r w:rsidRPr="00154B66">
              <w:rPr>
                <w:rFonts w:ascii="Verdana" w:hAnsi="Verdana" w:cs="Arial"/>
                <w:b/>
                <w:bCs/>
              </w:rPr>
              <w:t>Page 86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86 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afecta al derecho individual de cada socio, que exigiría su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consentimiento expreso.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CLAUSULAS DE VALORACION EN LA TRANSMISIONES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FORZOSAS Y MORTIS CAUSA. Hay que tener en cuenta las dos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diferencias fundamentales respecto al caso de transmisión inter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vivos: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-la decisión de transmitir no obedece a la libre decisión del socio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-existen terceros (causahabientes y acreedores) afectados por las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clausulas de valoración.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las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transmisiones forzosas</w:t>
      </w:r>
      <w:r w:rsidRPr="00154B66">
        <w:rPr>
          <w:rFonts w:ascii="Verdana" w:hAnsi="Verdana"/>
          <w:color w:val="000000"/>
          <w:shd w:val="clear" w:color="auto" w:fill="FFFFFF"/>
        </w:rPr>
        <w:t>, el art.31 se aparta del valor real y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fija como valor de las participaciones el resultante de sumar 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precio de remate los gastos causados, con independencia de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sea superior o inferior al valor real.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Parece que en este caso el precepto es imperativo, no es posible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los estatutos establezcan un precio distinto a pagar 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rematante, de lo contrario la incertidumbre a la que se somete 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rematante frustraría la ejecución en perjuicio del acreedor.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Transmisión mortis causa</w:t>
      </w:r>
      <w:r w:rsidRPr="00154B66">
        <w:rPr>
          <w:rFonts w:ascii="Verdana" w:hAnsi="Verdana"/>
          <w:color w:val="000000"/>
          <w:shd w:val="clear" w:color="auto" w:fill="FFFFFF"/>
        </w:rPr>
        <w:t>. El art. 32.2 reconoce un derecho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adquisición preferente de las participaciones del socio fallecido 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favor de los socios sobrevivientes o en su defecto a favor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sociedad, apreciadas por el valor razonable que tuvieran el día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fallecimiento.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Las posibilidades de impugnación de los herederos con carácter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general quedan reducidas a los actos gratuitos y sólo cuando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aquellos ostenten la condición de legitimarios. Sin embargo parece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lógico, según JUAN PEREZ HEREZA admitir que falta la gratuidad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(y más aun el, ánimo de liberalidad) cuando estas clausulas son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recíprocas. No parece que el interés de los herederos justifique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imperatividad del art. 32 pues si vinculaba al socio, no hay razón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justifique que no vincula a los herederos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SEPARACIÓN Y EXCLUSIÓN DE SOCIOS. A diferencia de lo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ocurre con las clausulas restrictivas de la transmisión, en el caso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separación y exclusión, el efecto previsto con carácter general es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amortización de las participaciones, y por tanto, la reducción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capital social.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47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23" w:name="87"/>
            <w:bookmarkEnd w:id="23"/>
            <w:r w:rsidRPr="00154B66">
              <w:rPr>
                <w:rFonts w:ascii="Verdana" w:hAnsi="Verdana" w:cs="Arial"/>
                <w:b/>
                <w:bCs/>
              </w:rPr>
              <w:t>Page 87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87 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este caso se trata de determinar la imperatividad o no del art.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100 LSRL que establece, para ambos supuestos, que a falta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acuerdo sobre el valor razonable de las participaciones, serán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valoradas por un auditor de cuentas, distinto del auditor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sociedad, designado por el registrador mercantil.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Parece que la configuración de la separación como un instrumento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protección del socio minoritario y la exclusión como un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mecanismo de sanción, justifican la imperatividad del art. Así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CABANAS y BONARDELL, que consideran que el dº a obtener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valor razonable forma parte del contenido mínimo esencial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posición del socio.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Sin embargo, JUAN PEREZ HEREZA, se muestra contrario a esta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tesis. Considera que al interés social puede convenirle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establecimiento de un sistema de valoración predeterminado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elimine incertidumbres y aminore el quebranto patrimonial, máxime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teniendo en cuenta que todos los socios han consentido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individualmente y con carácter preventivo un sistema de valoración.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Además en nuestro ordenamiento el principio general es el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renunciabilidad de derechos, sólo excepcionado con carácter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general cuando la renuncia perjudique a terceros y con carácter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específico en el caso de determinadas renuncias preventivas. En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realidad subyace en estas posiciones una pretensión de proteger 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futuros socios que, sin consentir expresamente el régimen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estatutario, puedan verse afectados por el mismo, sin embargo,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opina JUAN PEREZ que suprimida la posibilidad de establecer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estas clausulas por acuerdo de la mayoría, decaen las razones para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proteger a futuros socios.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ROCÍO LORA-TAMAYO VILLACIEROS. Notario de Monesterio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PROBLEMAS EN LA TRANSMISION DE ACCIONES Y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PARTICIPACIONES (II)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48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24" w:name="88"/>
            <w:bookmarkEnd w:id="24"/>
            <w:r w:rsidRPr="00154B66">
              <w:rPr>
                <w:rFonts w:ascii="Verdana" w:hAnsi="Verdana" w:cs="Arial"/>
                <w:b/>
                <w:bCs/>
              </w:rPr>
              <w:t>Page 88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88 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TRANSMISIÓN DE ACCIONES Y PARTICIPACIONES ANTES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INSCRIPCION</w:t>
      </w:r>
      <w:r w:rsidRPr="00154B66">
        <w:rPr>
          <w:rFonts w:ascii="Verdana" w:hAnsi="Verdana"/>
          <w:color w:val="000000"/>
          <w:shd w:val="clear" w:color="auto" w:fill="FFFFFF"/>
        </w:rPr>
        <w:t>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Los preceptos clave son, por una parte el artículo 62.1 LSA que dice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“Hasta la inscripción de la sociedad, o, en su caso, del acuerdo de aumento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capital social en el Registro Mercantil, no podrán entregarse ni transmitirse las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acciones</w:t>
      </w:r>
      <w:r w:rsidRPr="00154B66">
        <w:rPr>
          <w:rFonts w:ascii="Verdana" w:hAnsi="Verdana"/>
          <w:color w:val="000000"/>
          <w:shd w:val="clear" w:color="auto" w:fill="FFFFFF"/>
        </w:rPr>
        <w:t>”. Y por otra el art 28 LSRL, que de igual modo establece que: “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Hasta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la inscripción de la sociedad, o, en su caso, del acuerdo de aumento de capital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social en el Registro Mercantil, no podrán entregarse ni transmitirse las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participaciones sociales”</w:t>
      </w:r>
      <w:r w:rsidRPr="00154B66">
        <w:rPr>
          <w:rFonts w:ascii="Verdana" w:hAnsi="Verdana"/>
          <w:color w:val="000000"/>
          <w:shd w:val="clear" w:color="auto" w:fill="FFFFFF"/>
        </w:rPr>
        <w:t>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Sin embargo, la interpretación del alcance que se ha de dar a estos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preceptos ha sido cuestión muy discutida. Podemos distinguir varias tesis.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1)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Tesis estricta de la nulidad. En base al art. 6.3 CC, tanto “inter partes”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como frente a la sociedad, lo que se debe entender se extendía incluso 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precontrato o promesa de venta de acciones.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El fundamento se centra en la inaplicación del régimen del capital en esta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fase. La inscripción, tanto de la constitución de la sociedad como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ampliación del capital sí tendría eficacia constitutiva al menos respecto de los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efectos específicos del régimen del capital en esta fase, y por tanto del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transmisión de las cuotas en el mismo.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Sus argumentos son los siguientes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+ Inexistencia de la sociedad antes de la inscripción.- </w:t>
      </w:r>
      <w:r w:rsidRPr="00154B66">
        <w:rPr>
          <w:rFonts w:ascii="Verdana" w:hAnsi="Verdana"/>
          <w:color w:val="000000"/>
          <w:shd w:val="clear" w:color="auto" w:fill="FFFFFF"/>
        </w:rPr>
        <w:t>Sin inscripción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registral la sociedad carece de personalidad jurídica e incluso se sostiene que no hay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sociedad.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Este argumento es absolutamente insostenible por variadísimas razones: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a) Porque la norma se refiere también a los aumentos de capital y es evidente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la sociedad que aumenta su capital necesariamente existe previamente.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b) Porque la sociedad queda constituida desde el otorgamiento de la escritura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pública, momento desde el cual el ordenamiento admite la existencia de un ente con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personalidad. Pero aun si negamos la personalidad, lo que ya nadie duda a la vista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los arts 15 y 16 LSA es que ya se ha configurado un centro de imputación, con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existencia jurídica independiente.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+ Antes de la inscripción las acciones no son elementos patrimoniales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negociables.- </w:t>
      </w:r>
      <w:r w:rsidRPr="00154B66">
        <w:rPr>
          <w:rFonts w:ascii="Verdana" w:hAnsi="Verdana"/>
          <w:color w:val="000000"/>
          <w:shd w:val="clear" w:color="auto" w:fill="FFFFFF"/>
        </w:rPr>
        <w:t>No es argumento válido porque la acción, como representativa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situación jurídica derivada de la condición de accionista y la participación de la SL,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como representativa de la condición de socio, sí que deben considerarse negociables.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Campo Güerri propone dos ejemplos: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- Si otorgada la escritura fallece el socio antes de la inscripción, su condición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socio es elemento patrimonial integrante de su herencia.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- Si en esa misma situación el socio contrae o ha contraído deudas, sus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acreedores personales podrán pedir el embargo de los derechos que ostenta en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sociedad por la suscripción de acciones (así lo admitió la STS de 24 de marzo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1984).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consecuencia es que es posible la enajenación forzosa de esa participación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la sociedad. Como consecuencia de la misma: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49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25" w:name="89"/>
            <w:bookmarkEnd w:id="25"/>
            <w:r w:rsidRPr="00154B66">
              <w:rPr>
                <w:rFonts w:ascii="Verdana" w:hAnsi="Verdana" w:cs="Arial"/>
                <w:b/>
                <w:bCs/>
              </w:rPr>
              <w:t>Page 89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89 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+ los partidarios de las especialidades mínimas consideran que se produciría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adquisición de la condición de socio por el adjudicatario y, asimismo, la aplicación, en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su caso, del artículo 64.2 LSA (dº de adquisición preferente).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+ los que consideran que la sociedad se encuentra aún en fase “contractual y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personalista” consideran que la transmisión no puede producirse sin consentimiento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los demás, pero se adquiriría un dº obligacional a percibir los beneficios patrimoniales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derivados de tal condición (de ahí que el art 174 Cco diga que “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Los acreedores de un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socio no tendrán respecto a la compañía … otro derecho que el de embargar y percibir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lo que por beneficios o liquidación pudiera corresponder al socio deudor</w:t>
      </w:r>
      <w:r w:rsidRPr="00154B66">
        <w:rPr>
          <w:rFonts w:ascii="Verdana" w:hAnsi="Verdana"/>
          <w:color w:val="000000"/>
          <w:shd w:val="clear" w:color="auto" w:fill="FFFFFF"/>
        </w:rPr>
        <w:t>”).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Pero en todo caso puede descartarse que no estemos ante un elemento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patrimonial negociable. La conclusión es que si la acción, entendida como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representativa de la condición de socio, es perfectamente transmisible “mortis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causa” o enajenable forzosamente, no parece lógico que se prohíba su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transmisión “inter vivos” voluntaria, cualesquiera que sean sus requisitos o los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efectos que se reconozcan a esta transmisión.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+ Eliminar el peligro de especulaciones en una fase en que no se sabe si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la sociedad llegará o no a constituirse válidamente</w:t>
      </w:r>
      <w:r w:rsidRPr="00154B66">
        <w:rPr>
          <w:rFonts w:ascii="Verdana" w:hAnsi="Verdana"/>
          <w:color w:val="000000"/>
          <w:shd w:val="clear" w:color="auto" w:fill="FFFFFF"/>
        </w:rPr>
        <w:t>. Advierte CAMPO GÜERRI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el riesgo en juego no es una contingencia tan extraordinaria que el legislador deba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prevenir a toda costa suprimiendo la libertad civil. Es un riesgo que el comprador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puede conocer y asumir libremente si lo considera oportuno; ¿acaso el legislador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debería prohibir todos aquellos negocios que puedan entrañar riesgos para quienes lo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celebran? Si hay abusos, para eso están las acciones rescisorias e indemnizatorias.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2) Tesis más moderadas de la ineficacia relativa</w:t>
      </w:r>
      <w:r w:rsidRPr="00154B66">
        <w:rPr>
          <w:rFonts w:ascii="Verdana" w:hAnsi="Verdana"/>
          <w:color w:val="000000"/>
          <w:shd w:val="clear" w:color="auto" w:fill="FFFFFF"/>
        </w:rPr>
        <w:t>. Autores como Broseta,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Vicent Chuliá y Magariños sostienen que lo que se prohíbe es la efectiva transmisión,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pues las acciones no existen jurídicamente en esta fase, pero no los contratos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compraventa sobre las futuras acciones, no directamente transmisivos. Se admite así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el efecto obligacional del contrato transmisivo, pero no el real, para no interferir con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extraños el proceso de fundación o de ampliación del capital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.Magariños considera que con la inscripción, el efecto real se produciría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automáticamente Y si no se inscribe, el contrato queda ineficaz, aunque válido, con lo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siempre se podrá solicitar la resolución por incumplimiento, ex 1124 CC.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Sin embargo se pueden también aducir contra estas teorías los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argumentos antes expuestos.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3)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Teorías intermedias de la posibilidad de la transmisión a través de una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cesión de contrato. </w:t>
      </w:r>
      <w:r w:rsidRPr="00154B66">
        <w:rPr>
          <w:rFonts w:ascii="Verdana" w:hAnsi="Verdana"/>
          <w:color w:val="000000"/>
          <w:shd w:val="clear" w:color="auto" w:fill="FFFFFF"/>
        </w:rPr>
        <w:t>Es la sostenida por autores como Bolás o González-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Meneses. Como antes hemos expuesto, su concepción es que estaríamos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todavía ante una sociedad de base contractual y personalista (aun no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estatutaria y corporativa).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acuerdo con su postura, por lo tanto, aún no puede hablarse de acciones y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participaciones con su régimen específico, ni siquiera entre los socios. Y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consecuencia es que sólo se admita la transmisión de los derechos de socio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mediante la cesión del contrato mismo, es decir, de la total posición contractual.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Lo que, como en las demás sociedades personalistas, requeriría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necesariamente el consentimiento unánime de los socios.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Esta sería la razón por la cual la Ley prohíbe categóricamente la entrega y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transmisión de acciones antes de la inscripción de la sociedad en el RM, pues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50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26" w:name="90"/>
            <w:bookmarkEnd w:id="26"/>
            <w:r w:rsidRPr="00154B66">
              <w:rPr>
                <w:rFonts w:ascii="Verdana" w:hAnsi="Verdana" w:cs="Arial"/>
                <w:b/>
                <w:bCs/>
              </w:rPr>
              <w:t>Page 90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90 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antes hay partes sociales y no propiamente acciones o participaciones. Y lo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mismo se podría decir de la porción de capital ampliado pero no inscrito. Antes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se podría transmitir, pero con los requisitos y efectos propios de la una cesión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contrato.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El mismo régimen se aplicaría a la transmisión de las participaciones en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capital cuando la sociedad ha devenido en irregular, dada la remisión 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régimen de la S. Colectiva. Autores, como Alonso Ureba, consideran que esta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conversión automática o subsunción en el régimen de la sociedad civil 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colectiva debe considerarse íntegra y completa, con la conclusión de ser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necesario el consentimiento el consentimiento de todos los demás accionistas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para la transmisión (art 143 Ccom y 1696 CC). Se trataría por ello también aquí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una cesión de la posición contractual.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Y ello, se dice, porque carece de lógica dar eficacia al régimen estatutario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previsto en la escritura fundacional cuando dicha voluntad corporativa está ligada 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nacimiento de una sociedad de capital. Si ésta no se produce, la voluntad corporativa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deviene ineficaz.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4)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Teoría (más extrema) de Martinez Gil y Campo Güerri de la eficacia sólo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externa de la inscripción</w:t>
      </w:r>
      <w:r w:rsidRPr="00154B66">
        <w:rPr>
          <w:rFonts w:ascii="Verdana" w:hAnsi="Verdana"/>
          <w:color w:val="000000"/>
          <w:shd w:val="clear" w:color="auto" w:fill="FFFFFF"/>
        </w:rPr>
        <w:t>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Estos autores son partidarios de minimizar las especialidades del régimen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estas sociedades en el ámbito interno, (y consideran que el efecto esencial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inscripción es la exclusión de la responsabilidad ilimitada de los socios y de los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administradores en algunos supuestos). A través de dicha inscripción, por tanto, se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hace oponible frente a terceros la caracterización tipológica plena de la sociedad, pero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entre socios el régimen en esta fase previa ya es el legal y estatutario.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consecuencia consideran que deben minimizarse los efectos de los arts 62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LSA y 28 LSRL.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Respecto al régimen de las acciones, el art 62 LSA es interpretado en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sentido de por faltar aún la oponibilidad del régimen del capital, aún no pueden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considerarse como títulos valores, con su especial régimen transmisivo, dada su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trascendencia para terceros y para el tráfico. Pero se deben admitir los negocios sobre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las mismas, entendidas como situación juridico-social, como dº del socio, con plenos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efectos personales y reales. Ello sería coherente con el 56.1 LSA: 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“Mientras no se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hayan impreso y entregado los títulos, la transmisión de acciones procederá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acuerdo con las normas sobre la cesión de créditos y demás derechos incorporales”</w:t>
      </w:r>
      <w:r w:rsidRPr="00154B66">
        <w:rPr>
          <w:rFonts w:ascii="Verdana" w:hAnsi="Verdana"/>
          <w:color w:val="000000"/>
          <w:shd w:val="clear" w:color="auto" w:fill="FFFFFF"/>
        </w:rPr>
        <w:t>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No se alude a la necesidad de otros consentimientos específicos.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No explica, sin embargo, que la limitación exista respecto a las participaciones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sociales, ya que éstas no son títulos valores (Campo sostiene también su eficacia).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¿Y cuál sería para estos autores el régimen si la sociedad no inscrita se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convierte en irregular? El art 16 LSA ordena entonces la aplicación de las normas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Sociedad colectiva o, en su caso, las de la sociedad civil. Sin embargo, ello puede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entenderse de diversas maneras.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Sin embargo, estos autores partidarios de los efectos mínimos consideran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hay un doble régimen jurídico, el de la sociedad colectiva o civil, que es “ex lege”,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aplicable a todo lo que pueda afectar a terceros, y el de la sociedad anónima (“ex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voluntate”) aplicable a las relaciones internas entre los socios, entre ellas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transmisión de la condición de socio. La conclusión también es clara: el socio puede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transmitir sin más limitaciones, en su caso, que las estatutariamente establecidas.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51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27" w:name="91"/>
            <w:bookmarkEnd w:id="27"/>
            <w:r w:rsidRPr="00154B66">
              <w:rPr>
                <w:rFonts w:ascii="Verdana" w:hAnsi="Verdana" w:cs="Arial"/>
                <w:b/>
                <w:bCs/>
              </w:rPr>
              <w:t>Page 91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91 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Esta es la opinión de CAMPO GÜERRI, para el que la voluntad electora del tipo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anónima manifestado en la escritura constitutiva debe prevalecer en todo lo que no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afecte a los terceros. O sea, que el legislador debe respetar también aquí la autonomía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privada salvo en la medida en que lo exija la protección de los terceros. Se basa para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ello en los siguientes argumentos: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-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finalidad de la norma del art 16 es proteger a los terceros con un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régimen de responsabilidad ilimitada de los socios. Se trata de un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riguroso mecanismo sancionador, que implica alterar la voluntad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los socios. Por ello, el precepto no puede interpretarse más allá de su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finalidad esencial, lo que obliga (como norma sancionadora) a una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interpretación restrictiva para no llegar a consecuencias desorbitadas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ajenas a su propósito. A su no aplicación literal en todo aquello que no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perjudique a terceros (la esfera interna de los socios).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-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El párrafo 2 del art 16 establece la aplicación de las normas de la C “si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sociedad ha iniciado o continúa sus operaciones” lleva a la misma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conclusión, pues es sólo en este supuesto cuando la sociedad se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relaciona con terceros.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Frente a esta tesis podría alegarse que al aplicarse el régimen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responsabilidad de la colectiva o la civil la condición personal de los socios deviene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esencial, con lo que se habría producido una modificación esencial de la base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negocio que explica que no se aplique lo pactado, lo que justificaría la necesidad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consentimiento de los demás socios.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Sin embargo, se contra argumenta diciendo que la tª de la base del negocio 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excepcional y sólo admisible con carácter subsidiario, cuando quien pretende invocarla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no puede por otro medio legal eludir lo pactado en el contrato. Pero aquí sí existen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otros medios: el socio que quiera desvincularse que lo haga pidiendo la disolución (lo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permite el propio art.16); pero si no lo hace, debe respetar la voluntad inicial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todos los socios, que era la de constituir una sociedad anónima, con la libertad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transmisiva que le es consustancial.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Esta solución tampoco perjudica a los terceros, ya que al aplicarse - aquí sí -,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las normas de la colectiva o la civil, el que transmite sigue respondiendo con su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patrimonio personal de las deudas contraídas por la sociedad con anterioridad a su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marcha. Y tampoco se alteran los regímenes especiales de responsabilidad del art 46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LSA (responsabilidad en la transmisión de acciones no liberadas) o 21 LSRL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(responsabilidad, también de adquirentes ulteriores por la realidad y valoración de las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aportaciones no dinerarias).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Sin embargo, esta ingeniosa teoría deja sin explicar el significado de los arts 28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LSRL y 62 LSA.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todo caso, la cuestión no deja de ser dudosa y de indudable importancia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la práctica.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POSICIÓN DE LA JURISPRUDENCIA: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STS 3 Noviembre 2009. </w:t>
      </w:r>
      <w:r w:rsidRPr="00154B66">
        <w:rPr>
          <w:rFonts w:ascii="Verdana" w:hAnsi="Verdana"/>
          <w:color w:val="000000"/>
          <w:shd w:val="clear" w:color="auto" w:fill="FFFFFF"/>
        </w:rPr>
        <w:t>El Tribunal Supremo recuerda la interpretación que da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jurisprudencia en la actualidad de tal artículo, citando sentencias como la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12 de Diciembre 2002 ó 18 de Marzo de 2005, frente a la postura que se había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tenido con anterioridad, basándose en el antiguo artículo 14 de la LSA de 1951.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Así señala que el artículo 62 no prohíbe la celebración de negocios sobre las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52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28" w:name="92"/>
            <w:bookmarkEnd w:id="28"/>
            <w:r w:rsidRPr="00154B66">
              <w:rPr>
                <w:rFonts w:ascii="Verdana" w:hAnsi="Verdana" w:cs="Arial"/>
                <w:b/>
                <w:bCs/>
              </w:rPr>
              <w:t>Page 92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92 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acciones, aunque la transmisión efectiva de los títulos se haya de realizar en un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momento posterior, 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dado que lo único que pretende evitar el artículo 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precisamente que se entreguen esos títulos antes de la inscripción. Por tanto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no impide la celebración de un negocio de compraventa, que no supone una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transmisión de las acciones por sí solo, un cambio de la titularidad inmediato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las mismas, sino que sólo genera la obligación de transmitirlas. </w:t>
      </w:r>
      <w:r w:rsidRPr="00154B66">
        <w:rPr>
          <w:rFonts w:ascii="Verdana" w:hAnsi="Verdana"/>
          <w:color w:val="000000"/>
          <w:shd w:val="clear" w:color="auto" w:fill="FFFFFF"/>
        </w:rPr>
        <w:t>Por ello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confirma la validez del contrato de venta de acciones antes de la inscripción.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Además añade que «el artículo 62 responde a la voluntad del legislador de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no se entreguen o transmitan las acciones antes de la inscripción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sociedad - entre otras razones porque las representadas por títulos necesitan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contener la mención de los datos de identificación de dicha inscripción: artículo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53, apartado 1 , letra a).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La STS de 18 de marzo 2005: </w:t>
      </w:r>
      <w:r w:rsidRPr="00154B66">
        <w:rPr>
          <w:rFonts w:ascii="Verdana" w:hAnsi="Verdana"/>
          <w:color w:val="000000"/>
          <w:shd w:val="clear" w:color="auto" w:fill="FFFFFF"/>
        </w:rPr>
        <w:t>Declara que el artículo 62 ha sido interpretado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por un relevante sector de la doctrina científica en el sentido de que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imposibilidad material de confeccionar la acción antes de la inscripción puede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ser un obstáculo para la entrega, pero no para la transmisión de los derechos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del socio o futuro socio, de modo que la prohibición de transmisión se refiere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sólo al titulo valor, que evidentemente no puede ser transferido si no existe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como tal, por incorporarse a un soporte de papel o a ese otro de la anotación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cuenta, pero no a la acción concebida como conjunto de derechos o, más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exactamente, a los derechos derivados de la cualidad de socio o de futuro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socio.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Según esta posición doctrinal, no existe una imposibilidad dogmática 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conceptual para la transmisión de que se trata.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definitiva, con seguimiento de la doctrina científica antes aludida y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las posiciones jurisprudenciales recién expuestas, el TS considera en esta ST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la prohibición del artículo 62 de la Ley de Sociedades Anónimas afecta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sólo a la emisión y entrega de las acciones antes de la inscripción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sociedad o del aumento del capital, pero no prohíbe la celebración de negocios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sobre estas acciones, dejando para momento posterior la consumación de los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mismos mediante la transmisión de los títulos una vez creados.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EN EL PROCESO DE TRANSFORMACIÓN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Dado que el artículo 90.1.2 LSRL señala que “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la eficacia de la transformación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quedará supeditada a la inscripción de la escritura pública en el Registro Mercantil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”</w:t>
      </w:r>
      <w:r w:rsidRPr="00154B66">
        <w:rPr>
          <w:rFonts w:ascii="Verdana" w:hAnsi="Verdana"/>
          <w:color w:val="000000"/>
          <w:shd w:val="clear" w:color="auto" w:fill="FFFFFF"/>
        </w:rPr>
        <w:t>, se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plantea qué ocurre con las transmisiones una vez otorgada la escritura pública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transformación de SA en SRL y antes de que se inscriba en el Registro Mercantil: ¿se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transmiten acciones o participaciones sociales?.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MS Mincho" w:eastAsia="MS Mincho" w:hAnsi="MS Mincho" w:cs="MS Mincho" w:hint="eastAsia"/>
          <w:color w:val="000000"/>
          <w:shd w:val="clear" w:color="auto" w:fill="FFFFFF"/>
        </w:rPr>
        <w:t>❑</w:t>
      </w:r>
      <w:r w:rsidRPr="00154B66">
        <w:rPr>
          <w:rFonts w:ascii="Verdana" w:hAnsi="Verdana"/>
          <w:color w:val="000000"/>
          <w:shd w:val="clear" w:color="auto" w:fill="FFFFFF"/>
        </w:rPr>
        <w:t> Para un sector doctrinal (PERDICES), hasta la inscripción deben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transmitirse como acciones (art.56 LSA) e inscribirse en el Libro Registro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Acciones Nominativas (art.55 LSA) y no quedarán sujetas a las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limitaciones transmisivas propias de las sociedades de responsabilidad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limitada.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MS Mincho" w:eastAsia="MS Mincho" w:hAnsi="MS Mincho" w:cs="MS Mincho" w:hint="eastAsia"/>
          <w:color w:val="000000"/>
          <w:shd w:val="clear" w:color="auto" w:fill="FFFFFF"/>
        </w:rPr>
        <w:t>❑</w:t>
      </w:r>
      <w:r w:rsidRPr="00154B66">
        <w:rPr>
          <w:rFonts w:ascii="Verdana" w:hAnsi="Verdana"/>
          <w:color w:val="000000"/>
          <w:shd w:val="clear" w:color="auto" w:fill="FFFFFF"/>
        </w:rPr>
        <w:t> Para MARTINEZ GIL esta opinión es totalmente rechazable por varios motivos: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1. La inscripción nunca es un elemento constitutivo del negocio jurídico, y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solamente puede tener una función de oponibilidad del negocio frente 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terceros, nunca “inter partes”.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53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29" w:name="93"/>
            <w:bookmarkEnd w:id="29"/>
            <w:r w:rsidRPr="00154B66">
              <w:rPr>
                <w:rFonts w:ascii="Verdana" w:hAnsi="Verdana" w:cs="Arial"/>
                <w:b/>
                <w:bCs/>
              </w:rPr>
              <w:t>Page 93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93 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2. En la propia escritura de transformación es obligatorio señalar que se han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anulado o inutilizado los títulos representativos de las acciones, señal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inequívoca que el legislador considera el proceso como definitivo.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3. Los socios pueden haber optado por el régimen de sociedad limitada buscando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“cerrar” la sociedad a extraños y sería paradójico que, antes de la inscripción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la transformación, y una vez manifestada en la escritura pública la voluntad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electora del tipo, puedan transmitirse como acciones sin restricciones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estatutarias libremente elegidas por todos los socios.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4. Hasta unas recientes resoluciones de la DGRN que han cambiado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criterio anterior, a los acuerdos adoptados inmediatamente después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transformación, bien en la misma Junta, bien en otra anterior a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inscripción, se les aplicaba ya, no obstante no haberse inscrito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transformación, las normas de la SRL (por ejemplo, cambios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denominaciones o de domicilios sin publicaciones en periódicos,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aumentos de capital con aportaciones no dinerarias sin informe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expertos independientes, etc).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Por todo lo anterior, y así se viene haciendo en la práctica notarial, hay que transmitir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las participaciones de la sociedad ya transformada, pero que está pendiente de cerrar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el ciclo transformador frente a terceros a través de la inscripción.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ADQUISICIONES INDIRECTAS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 decir, cuando el socio de una sociedad con restricciones para transmitir sus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participaciones/acciones es a la vez una sociedad, pues vendiendo ésta última las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suyas, consigue indirectamente un cambio de titularidad o control sin someterse 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restricción alguna.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Señala PERDICES que en estos casos, como regla general, prima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contemplación objetiva de la sociedad independientemente de quienes la dirijan 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compongan (se entiende por contemplación objetiva cuando la entrada de una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persona jurídica como socio tiene lugar en contemplación a las circunstancias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objetivas de aquella, como patrimonio, capital, objeto etc). Admitir sin más como socio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 una persona jurídica debe interpretarse como regla general, en el sentido de que los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cambios subjetivos o de control de aquella se consideran irrelevantes para los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intereses a los que sirve la restricción.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Pero nada impide la contemplación subjetiva (cuando la alteración de la base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subjetiva devenga relevante) ya sea expresa (cuando así se prevé expresamente) 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implícita, como ocurre en caso de cláusulas que permitan ciertos supuestos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adquisición indirecta, de lo que cabe interpretar que no se admite en los demás.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cualquier caso, las cláusulas limitativas en estos casos han de ser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adquisición preferente una vez realizada la adquisición, ya que evidentemente a través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los estatutos de una sociedad no se pueden imponer directamente limitaciones a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transmisión de otra distinta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54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30" w:name="94"/>
            <w:bookmarkEnd w:id="30"/>
            <w:r w:rsidRPr="00154B66">
              <w:rPr>
                <w:rFonts w:ascii="Verdana" w:hAnsi="Verdana" w:cs="Arial"/>
                <w:b/>
                <w:bCs/>
              </w:rPr>
              <w:t>Page 94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94 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EXAMEN DE LA DA 3º LMV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materia de acciones, si son títulos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al portador </w:t>
      </w:r>
      <w:r w:rsidRPr="00154B66">
        <w:rPr>
          <w:rFonts w:ascii="Verdana" w:hAnsi="Verdana"/>
          <w:color w:val="000000"/>
          <w:shd w:val="clear" w:color="auto" w:fill="FFFFFF"/>
        </w:rPr>
        <w:t>la transmisión se sujeta a lo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dispuesto por el artículo 545 CdC en virtud de la remisión del artículo 56.2 LSA. Es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importancia en este punto la DA 3ª LMV que dispone “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la inscripción o transmisión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valores sólo requerirá, para su validez, la intervención de fedatario público cuando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éstos estén representados por títulos al portador y dicha suscripción o transmisión no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se efectúa con la participación o mediación de una Sociedad o Agencia de Valores 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de una entidad de crédito</w:t>
      </w:r>
      <w:r w:rsidRPr="00154B66">
        <w:rPr>
          <w:rFonts w:ascii="Verdana" w:hAnsi="Verdana"/>
          <w:color w:val="000000"/>
          <w:shd w:val="clear" w:color="auto" w:fill="FFFFFF"/>
        </w:rPr>
        <w:t>". Debe entenderse que esta obligación constituye un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requisito formal que se añade a la tradición, no al negocio causal, de modo que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negocio “inter partes” es válido sin perjuicio del derecho que les asiste a compelerse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recíprocamente a llenar la forma exigida legalmente (en contra GARRIGUES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sostiene nulidad radical). Más discutido es determinar qué efectos produce la falta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requisito para el ejercicio de los derechos del accionista frente a la sociedad, ¿puede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ejercitar sus derechos o no?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MS Mincho" w:eastAsia="MS Mincho" w:hAnsi="MS Mincho" w:cs="MS Mincho" w:hint="eastAsia"/>
          <w:color w:val="000000"/>
          <w:shd w:val="clear" w:color="auto" w:fill="FFFFFF"/>
        </w:rPr>
        <w:t>➢</w:t>
      </w:r>
      <w:r w:rsidRPr="00154B66">
        <w:rPr>
          <w:rFonts w:ascii="Verdana" w:hAnsi="Verdana"/>
          <w:color w:val="000000"/>
          <w:shd w:val="clear" w:color="auto" w:fill="FFFFFF"/>
        </w:rPr>
        <w:t xml:space="preserve"> GARRIGUES, PAZ-ARES, MADRID-PARRA entienden que sí por ser una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norma de interpretación restrictiva al desvirtuar la naturaleza de los títulos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al portador, porque la ratio de la misma es fiscal y porque la apariencia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derivada de la posesión del título debe jugar a favor de la sociedad con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límite de la buena fe.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MS Mincho" w:eastAsia="MS Mincho" w:hAnsi="MS Mincho" w:cs="MS Mincho" w:hint="eastAsia"/>
          <w:color w:val="000000"/>
          <w:shd w:val="clear" w:color="auto" w:fill="FFFFFF"/>
        </w:rPr>
        <w:t>➢</w:t>
      </w:r>
      <w:r w:rsidRPr="00154B66">
        <w:rPr>
          <w:rFonts w:ascii="Verdana" w:hAnsi="Verdana"/>
          <w:color w:val="000000"/>
          <w:shd w:val="clear" w:color="auto" w:fill="FFFFFF"/>
        </w:rPr>
        <w:t xml:space="preserve"> MARTINEZ GIL entiende que con tal interpretación se vacía de contenido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dicha D.A. y que la exigencia legal de dicho requisito no puede anularse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para conceder una aparente titularidad jurídica al mero poseedor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acción, además señala que la norma tiene otras finalidades como controlar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el poder económico que representa la titularidad de las acciones (por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ejemplo desde el punto de vista del derecho de la competencia) y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fiscalmente interesa controlar no solamente el incremento patrimonial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vendedor sino también los dividendos que pudiera percibir el comprador.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consecuencia, el Notario debe exigir el título adquisitivo del transmitente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para ejercer el control de legalidad (en contra PAZ-ARES). Añade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MARTINEZ GIL que, en todo caso, caben todas las formas de tradición (ej.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instrumental del 1.462 CC) y que esto no obstante a los efectos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legitimación nadie puede legitimarse sin la posesión material o física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documento, aunque sea el verdadero dueño del mismo.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ROCÍO LORA-TAMAYO VILLACIEROS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NOTARIO DE MONESTERIO (Badajoz)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EL PROBLEMA DE LA ANOTACIÓN PREVENTIVA DE EMBARGO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CANCELADA. QUE POSTERIORMENTE POR MANDAMIENTO JUDICIAL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SE DECLARA MAL CANCELADA, PRETENDIÉNDOSE REPONERLA ¿Qué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OCURRE CON LOS TIULARES DE ASIENTOS POSTERIORES?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Se recoge en una </w:t>
      </w:r>
      <w:r w:rsidRPr="00154B66">
        <w:rPr>
          <w:rFonts w:ascii="Verdana" w:hAnsi="Verdana"/>
          <w:color w:val="0000FF"/>
          <w:shd w:val="clear" w:color="auto" w:fill="FFFFFF"/>
        </w:rPr>
        <w:t>Resolución de la DGRN de 7 de septiembre de 2009.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55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31" w:name="95"/>
            <w:bookmarkEnd w:id="31"/>
            <w:r w:rsidRPr="00154B66">
              <w:rPr>
                <w:rFonts w:ascii="Verdana" w:hAnsi="Verdana" w:cs="Arial"/>
                <w:b/>
                <w:bCs/>
              </w:rPr>
              <w:t>Page 95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95 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Supuesto de hecho: Se ha cancelado una anotación preventiva de embargo.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Pero, un mandamiento judicial ordena que se deje sin efecto dicha cancelación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(que fue acordada en una ejecución anterior) reponiendo la vigencia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anotación preventiva de embargo ahora cancelada. Desde que se canceló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anotación preventiva se practicaron en el registro otros asientos, cuyos titulares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no han sido parte en el procedimiento del que dimana el mandamiento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discutido.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¿Es posible?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NO</w:t>
      </w:r>
      <w:r w:rsidRPr="00154B66">
        <w:rPr>
          <w:rFonts w:ascii="Verdana" w:hAnsi="Verdana"/>
          <w:color w:val="000000"/>
          <w:shd w:val="clear" w:color="auto" w:fill="FFFFFF"/>
        </w:rPr>
        <w:t>. Cancelado un asiento de anotación preventiva de embargo,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los asientos posteriores (anotaciones preventivas o inscripciones) ganan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prioridad, avanzan de rango y devienen anteriores frente a una eventual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ampliación del embargo –como ha ocurrido en el supuesto de hecho de este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expediente-. La consecuencia es que no cabe el restablecimiento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anotación preventiva cancelada sin el consentimiento de los titulares de los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derechos inscritos o anotados, que aún siendo posteriores en llegar al Registro,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han pasado a ser anteriores como consecuencia de la cancelación practicada.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¿Es incompatible esta doctrina con la que sí permite la ampliación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embargo? </w:t>
      </w:r>
      <w:r w:rsidRPr="00154B66">
        <w:rPr>
          <w:rFonts w:ascii="Verdana" w:hAnsi="Verdana"/>
          <w:b/>
          <w:bCs/>
          <w:color w:val="000000"/>
          <w:shd w:val="clear" w:color="auto" w:fill="FFFFFF"/>
        </w:rPr>
        <w:t>NO</w:t>
      </w:r>
      <w:r w:rsidRPr="00154B66">
        <w:rPr>
          <w:rFonts w:ascii="Verdana" w:hAnsi="Verdana"/>
          <w:color w:val="000000"/>
          <w:shd w:val="clear" w:color="auto" w:fill="FFFFFF"/>
        </w:rPr>
        <w:t>, pero hay que matizarla: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1. </w:t>
      </w:r>
      <w:r w:rsidRPr="00154B66">
        <w:rPr>
          <w:rFonts w:ascii="Verdana" w:hAnsi="Verdana"/>
          <w:color w:val="000000"/>
          <w:shd w:val="clear" w:color="auto" w:fill="FFFFFF"/>
        </w:rPr>
        <w:t>La existencia de terceros con derechos inscritos o anotados no es obstáculo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para practicar la ampliación del embargo, como ha dicho anteriormente este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Centro Directivo (cfr. Resolución de 26 de septiembre de 2003 y 1 de Octubre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2005). (verlas)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2</w:t>
      </w:r>
      <w:r w:rsidRPr="00154B66">
        <w:rPr>
          <w:rFonts w:ascii="Verdana" w:hAnsi="Verdana"/>
          <w:color w:val="000000"/>
          <w:shd w:val="clear" w:color="auto" w:fill="FFFFFF"/>
        </w:rPr>
        <w:t>. 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La ampliación del embargo por intereses y costas </w:t>
      </w:r>
      <w:r w:rsidRPr="00154B66">
        <w:rPr>
          <w:rFonts w:ascii="Verdana" w:hAnsi="Verdana"/>
          <w:color w:val="000000"/>
          <w:shd w:val="clear" w:color="auto" w:fill="FFFFFF"/>
        </w:rPr>
        <w:t>sobre lo inicialmente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previsto en la ejecución en que se acordó, puede hacerse constar aunque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finca se halle inscrita a nombre de otra persona, salvo la hipótesis del artículo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613.3 de la Ley de Enjuiciamiento Civil (es decir, salvo que la finca haya sido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adquirida por virtud de otra ejecución).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3</w:t>
      </w:r>
      <w:r w:rsidRPr="00154B66">
        <w:rPr>
          <w:rFonts w:ascii="Verdana" w:hAnsi="Verdana"/>
          <w:color w:val="000000"/>
          <w:shd w:val="clear" w:color="auto" w:fill="FFFFFF"/>
        </w:rPr>
        <w:t>. Esto es así respecto de cantidades devengadas con posterioridad 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embargo, incluso en los supuestos de acumulación de procedimientos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ejecución aunque se deriven de créditos diversos (cfr. Resolución de 30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Septiembre de 2005).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4</w:t>
      </w:r>
      <w:r w:rsidRPr="00154B66">
        <w:rPr>
          <w:rFonts w:ascii="Verdana" w:hAnsi="Verdana"/>
          <w:color w:val="000000"/>
          <w:shd w:val="clear" w:color="auto" w:fill="FFFFFF"/>
        </w:rPr>
        <w:t>. 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Pero el presupuesto necesario para que esta ampliación se haga constar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registralmente y tenga eficacia frente a terceros, es que la anotación preventiva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de embargo esté vigente y sin cancelar</w:t>
      </w:r>
      <w:r w:rsidRPr="00154B66">
        <w:rPr>
          <w:rFonts w:ascii="Verdana" w:hAnsi="Verdana"/>
          <w:color w:val="000000"/>
          <w:shd w:val="clear" w:color="auto" w:fill="FFFFFF"/>
        </w:rPr>
        <w:t>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ARTÍCULOS DOCTRINALES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NOTAS PARA EL ESTUDIO DE LA OPCIÓN DE COMPRA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Por Valerio Pérez de Madrid Carreras.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Notario de Córdoba.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56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32" w:name="96"/>
            <w:bookmarkEnd w:id="32"/>
            <w:r w:rsidRPr="00154B66">
              <w:rPr>
                <w:rFonts w:ascii="Verdana" w:hAnsi="Verdana" w:cs="Arial"/>
                <w:b/>
                <w:bCs/>
              </w:rPr>
              <w:t>Page 96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96 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SUMARIO</w:t>
      </w:r>
      <w:r w:rsidRPr="00154B66">
        <w:rPr>
          <w:rFonts w:ascii="Verdana" w:hAnsi="Verdana"/>
          <w:color w:val="000000"/>
          <w:shd w:val="clear" w:color="auto" w:fill="FFFFFF"/>
        </w:rPr>
        <w:t>: 1.- CONCEPTO, CLASES Y FUNCIÓN DE LA OPCIÓN. 2.-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NATURALEZA JURÍDICA DE LA OPCIÓN. A) Configuración autónoma. B)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Derecho real o personal. 3.- CUESTIONES DE CAPACIDAD. 4.- EL PRECIO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LA OPCION: LA PRIMA. 5.- EL PLAZO: A) Naturaleza B) Determinación C)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Duración D) Plazo y contraprestación 6.- EFICACIA DE LA OPCIÓN. A)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Efectos inter partes B) Efectos frente a terceros 7.- CESIÓN DE LA OPCIÓN.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8.- OPCIÓN MEDIATORIA. 9.- OPCIÓN EN GARANTÍA. 10.- EXAMEN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DOCTRINA DE LA DIRECCIÓN GENERAL DE REGISTROS Y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NOTARIADO.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BIBLIOGRAFÍA: </w:t>
      </w:r>
      <w:r w:rsidRPr="00154B66">
        <w:rPr>
          <w:rFonts w:ascii="Verdana" w:hAnsi="Verdana"/>
          <w:color w:val="000000"/>
          <w:shd w:val="clear" w:color="auto" w:fill="FFFFFF"/>
        </w:rPr>
        <w:t>DIEZ-PICAZO, L.: 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Fundamentos de Derecho Civil Patrimonial</w:t>
      </w:r>
      <w:r w:rsidRPr="00154B66">
        <w:rPr>
          <w:rFonts w:ascii="Verdana" w:hAnsi="Verdana"/>
          <w:color w:val="000000"/>
          <w:shd w:val="clear" w:color="auto" w:fill="FFFFFF"/>
        </w:rPr>
        <w:t>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I, Madrid, 1.997; FELIÚ REY, M.I.: 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La prohibición del pacto comisorio y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opción en garantía, </w:t>
      </w:r>
      <w:r w:rsidRPr="00154B66">
        <w:rPr>
          <w:rFonts w:ascii="Verdana" w:hAnsi="Verdana"/>
          <w:color w:val="000000"/>
          <w:shd w:val="clear" w:color="auto" w:fill="FFFFFF"/>
        </w:rPr>
        <w:t>Madrid, 1.995; LEÑA FERNÁNDEZ, R.: 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Algunas cuestiones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prácticas en torno a la opción de compra, </w:t>
      </w:r>
      <w:r w:rsidRPr="00154B66">
        <w:rPr>
          <w:rFonts w:ascii="Verdana" w:hAnsi="Verdana"/>
          <w:color w:val="000000"/>
          <w:shd w:val="clear" w:color="auto" w:fill="FFFFFF"/>
        </w:rPr>
        <w:t>en Academia Sevillana del Notariado,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1.991; TORRES LANA, J.A.: 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Contrato y derecho de opción, </w:t>
      </w:r>
      <w:r w:rsidRPr="00154B66">
        <w:rPr>
          <w:rFonts w:ascii="Verdana" w:hAnsi="Verdana"/>
          <w:color w:val="000000"/>
          <w:shd w:val="clear" w:color="auto" w:fill="FFFFFF"/>
        </w:rPr>
        <w:t>Madrid, 1.987.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1.- CONCEPTO, CLASES Y FUNCIÓN DE LA OPCIÓN.-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una primera aproximación y siguiendo a DÍEZ-PICAZO, entendemos por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OPCIÓN aquel contrato en virtud del cual una de las partes (concedente)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atribuye a otra (optante), un derecho que le permite decidir, dentro de un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determinado periodo de tiempo, la celebración de otro contrato, normalmente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compraventa.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El contrato de opción no está regulado de forma unitaria en nuestro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ordenamiento jurídico. Sólo está prevista su inscripción en el art. 14 RH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exige para su acceso al Registro: convenio expreso de las partes para que se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inscriba; precio estipulado para la adquisición de la finca y, en su caso, el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se hubiera convenido para conceder la opción; y plazo para el ejercicio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opción, que no podrá exceder de cuatro años.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cuanto a las clases de la opción, está relacionado con la función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económica y jurídica que desempeña la opción en el tráfico jurídico: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A) OPCIÓN DIRECTA.- Es aquella opción cuya función radica en conceder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al optante una mayor amplitud en la deliberación y decisión acerca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conveniencia de la conclusión del contrato proyectado.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B) OPCIÓN MEDIATORIA.- Es aquella opción en la cual el optante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interviene como un simple intermediario, con fines especulativos, pues está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prevista la posibilidad de que el contrato proyectado se celebre con una tercera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persona que designe el optante.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C) OPCIÓN EN GARANTÍA.- Es aquella opción establecida en garantía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cumplimiento de una obligación, de modo que el deudor concede al acreedor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un derecho de opción sobre un bien de su propiedad, con la facultad de éste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ejercitar la opción en caso de incumplimiento, quedándose el bien en pago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deuda.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57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33" w:name="97"/>
            <w:bookmarkEnd w:id="33"/>
            <w:r w:rsidRPr="00154B66">
              <w:rPr>
                <w:rFonts w:ascii="Verdana" w:hAnsi="Verdana" w:cs="Arial"/>
                <w:b/>
                <w:bCs/>
              </w:rPr>
              <w:t>Page 97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97 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2.- NATURALEZA JURÍDICA DE LA OPCIÓN.-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El estudio de la naturaleza jurídica de la opción nos llevará a las dos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cuestiones que han sido planteadas por doctrina y jurisprudencia. En primer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lugar, si la opción es un contrato autónomo, sui generis o, por el contrario, una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modalidad de precontrato. En segundo lugar y lo que es más importante, si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opción atribuye al optante un derecho personal o un derecho real.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A) Configuración autónoma.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Una primera tesis, defendida por DE CASTRO y DÍEZ-PICAZO parte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concepción de la opción como una modalidad de precontrato, pues se identifica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 la promesa de venta. A juicio de DÍEZ-PICAZO, estamos ante una promesa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bilateral, en el cual la facultad de exigir la entrada en vigor del contrato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proyectado se atribuye en exclusiva al optante.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Una segunda postura, en la que encontramos a ROCA SASTRE, que indica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la opción no es más que un pacto o derecho añadido a un contrato futuro y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carácter accesorio. MEZQUITA va más allá, al entender que el pacto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funciona como una condición potestativa, lo que ha sido negado por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jurisprudencia del Tribunal Supremo (así, STS 17 diciembre 66). Y LEÑA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FERNÁNDEZ, asumiendo la condición accesoria de la opción, defiende que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pacto va ligado a un contrato preparatorio de compraventa, no a una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compraventa futura.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Sin embargo, la tesis que nos parece más correcta, a la que se adscriben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TORRES LANA, YSÁS y la jurisprudencia del Tribunal Supremo, entiende por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el contrario que en la opción es una figura 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sui generis</w:t>
      </w:r>
      <w:r w:rsidRPr="00154B66">
        <w:rPr>
          <w:rFonts w:ascii="Verdana" w:hAnsi="Verdana"/>
          <w:color w:val="000000"/>
          <w:shd w:val="clear" w:color="auto" w:fill="FFFFFF"/>
        </w:rPr>
        <w:t>, si bien conectada con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contrato futuro. De este modo, se pueden diferenciar dos negocios distintos: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uno principal, que es la compraventa futura; y el contrato de opción, que en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está integrada la declaración de voluntad del concedente de forma perfecta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 irrevocable.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B) Derecho real o personal.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Cuestión más discutida es si la opción genera a favor del optante un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derecho real o personal. Las posturas son diversas en la doctrina.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Una primera postura es entender que el derecho de opción tiene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naturaleza PERSONAL. Como indica la STS 9 de octubre de 1.987, la opción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 un contrato, que sólo genera un derecho personal. No es un derecho real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porque no recae sobre la cosa, sino sobre la persona del concedente, sin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perjuicio de que por medio de la inscripción pueda afectar como una carga 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los terceros. Como indica TORRES LANA, en el derecho de opción no se dan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los caracteres de inmediatividad, inherencia y exclusividad propios de los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derechos reales y, además, el derecho de opción se extingue por su ejercicio,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nota típica de los derechos personales.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58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34" w:name="98"/>
            <w:bookmarkEnd w:id="34"/>
            <w:r w:rsidRPr="00154B66">
              <w:rPr>
                <w:rFonts w:ascii="Verdana" w:hAnsi="Verdana" w:cs="Arial"/>
                <w:b/>
                <w:bCs/>
              </w:rPr>
              <w:t>Page 98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98 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segunda postura es la antitética, pues parte de la idea de que el derecho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opción es siempre un DERECHO REAL. A esta línea se adscriben autores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como AMORÓS GUARDIOLA o CAMY, sobre la base de entender que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opción es un derecho de adquisición preferente sobre la cosa, imponiéndose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directamente sobre ésta.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tercera postura es entender que el derecho de opción pertenece a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categoría jurídica del IUS AD REM o derecho con vocación real, porque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opción es un derecho personal que, por medio de la inscripción, tiene efectos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reales. Para DÍEZ-PICAZO, es un derecho personal porque no concede un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poder directo sobre la cosa, sino sólo un comportamiento del obligado, que 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el concedente; sin embargo, tiene vocación real porque la opción inscrita 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oponible y eficaz contra terceros.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Sin embargo, la tesis que estimamos más acertada es la que entiende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opción tiene una NATURALEZA PERSONAL O REAL DEPENDIENTE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VOLUNTAD DE LAS PARTES. Es decir, en principio es un derecho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personal, pero nada impide, al amparo del principio de autonomía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voluntad y de la teoría numerus apertus en materia de derechos reales,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creación de un derecho de opción que reúna los requisitos típicos de los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derechos reales. Tesis que propugna ROCA SASTRE, MEZQUITA, CASTÁN,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LEÑA, la DGRN y la Ley 460 de la Compilación Navarra.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Ahora bien, admitida como premisa que la opción pueda configurarse por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voluntad de las partes como derecho real, ¿cuáles son los requisitos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opción real? A nuestro juicio, los siguientes: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1º Que se exprese claramente la voluntad de las partes de constituir un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derecho real, porque en caso contrario se presume la libertad del dominio,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como indica la Resolución de 4 de octubre de 1.989. De todas maneras,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cuestión no es tan sencilla, porque no es necesario que las partes,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nominalmente, se refieran a la creación de un derecho real, sino que lo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importa es la realidad material subyacente en el acuerdo de voluntades.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2º Y segundo, que se constituya realmente un derecho real, con las notas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típicas de inmediatividad, exclusividad y eficacia erga omnes propias de los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derechos reales.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inmediatividad implica que la opción real debe atribuir al optante un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poder directo sobre la cosa. En consecuencia, creemos que la opción se debe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configurar de modo que permita al optante, de forma unilateral, tanto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ejercicio de la opción de compra, celebrando por sí el contrato futuro, como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posible cesión de la opción sin consentimiento del concedente. Y la forma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práctica notarial ha ideado para esta inmediatividad es la concesión por parte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del concedente al optante de un poder conferido al optante, con carácter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temporal e irrevocable, para la formalización de la compraventa futura. Doctrina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y jurisprudencia permiten este poder, justificando la irrevocabilidad en el interés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protegido por el apoderamiento y entendiendo que estamos ante un supuesto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autocontrato permitido.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cuanto a la exclusividad sobre el bien objeto de la compraventa,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opción real exige que sólo el optante pueda provocar, con su decisión, la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59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35" w:name="99"/>
            <w:bookmarkEnd w:id="35"/>
            <w:r w:rsidRPr="00154B66">
              <w:rPr>
                <w:rFonts w:ascii="Verdana" w:hAnsi="Verdana" w:cs="Arial"/>
                <w:b/>
                <w:bCs/>
              </w:rPr>
              <w:t>Page 99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99 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alteración de la titularidad activa sobre el bien. Lo que implica que la opción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real, por esencia, implica una limitación de la facultad dispositiva sobre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concedente. No se trata sólo de una obligación de no disponer, sino de una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auténtica prohibición de disponer. Ciertamente, esa prohibición no accede 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Registro por el tenor del art. 27 LH, pero al ser una auténtica limitación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dominio, el acto de disposición del concedente no es válido, porque no tiene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legitimación dispositiva. Y esto sin perjuicio de los terceros de buena fe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aparezcan protegidos por la fe pública registral.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Finalmente, en cuanto a la eficacia erga omnes, ésta se alcanza, desde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luego, con la inscripción. La cuestión, realmente dudosa, es si cabe una opción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real constituida al margen del Registro. La mayoría de la doctrina entiende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no, ya que la eficacia erga omnes de la opción sólo puede obedecerse a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publicidad registral. Se parte de la idea, ciertamente sugerente, de que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opción real es un derecho no posedible y que, al igual que en la inscripción,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falta de posesión se suple con la inscripción. Es decir, que para la opción real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inscripción es constitutiva. La tesis contraria parte de que los derechos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reales, en nuestro ordenamiento jurídico, nacen antes y al margen del Registro,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sólo es título de legitimación y no de atribución de derechos reales.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la práctica, se cuestiona la admisibilidad de la opción real constituida en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escritura pública pero sin acceso al Registro. A nuestro juicio, ésta opción tiene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carácter real (siempre que se cumplan las otras dos notas) pues el tercero no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puede desconocer la existencia de la carga que representa la opción real dada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oponibilidad a terceros del documento público, principio esencial del artículo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1.218 del Código Civil. Es decir, que esta opción tendría efectos erga omnes.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Otra cosa es que no afecta a terceros hipotecarios por el juego de la fe pública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registral del artículo 34 LH. Pero nótese que en el caso de fincas no inscritas,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tercero sufriría siempre la carga.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3.- CUESTIONES DE CAPACIDAD.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Por lo que se refiere a la constitución de la opción de compra, conviene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detenerse en algunos aspectos relacionados con la capacidad. Nos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centraremos en los menores, incapaces, emancipados y en las sociedades.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relación con los menores, emancipados e incapaces, se plantea la duda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si la concesión de la opción por el menor, incapaz o emancipado implicará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sometimiento a los requisitos de tutela previstos por la ley si la opción recae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sobre un bien inmueble: autorización judicial o complemento de capacidad.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Para ello conviene no olvidar una idea esencial, cual es que la opción es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negocio jurídico que origina la transmisión, en el que radica la fuerza traslativa,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siendo la ejecución de la opción un mero acto debido. Por eso, la concesión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opción se equipara a la enajenación del bien inmueble objeto de la opción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compra; en cambio, la celebración de la compraventa futura podrá realizarse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libremente por el padre, tutor o emancipado sin los mecanismos de tutela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reseñados porque es un acto debido.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segunda cuestión práctica se plantea en relación con la sociedad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anónima y la norma de protección de las aportaciones encubiertas del artículo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60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36" w:name="100"/>
            <w:bookmarkEnd w:id="36"/>
            <w:r w:rsidRPr="00154B66">
              <w:rPr>
                <w:rFonts w:ascii="Verdana" w:hAnsi="Verdana" w:cs="Arial"/>
                <w:b/>
                <w:bCs/>
              </w:rPr>
              <w:t>Page 100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100 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41 LSA. Es decir, ¿hace falta autorización de la junta para que la SA pueda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celebrar una opción en los dos primeros años de constitución? Ciertamente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ley habla de adquirir y ya vimos que, de un lado, la opción es una forma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precontrato y, de otra, que la adquisición sólo se produce en Derecho español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cuando se produce la tradición, por virtud del sistema de título y modo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artículo 609 del CC. Sin embargo, entendemos que la autorización de la Junta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 exigible por la propia naturaleza de la opción, puesto con GIRÓN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entendemos que es la celebración del negocio jurídico originador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transmisión lo que determina el sometimiento al requisito legal por ser más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conforme con la ratio de la norma.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4.- EL PRECIO DE LA OPCION: LA PRIMA.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El precio de la opción es la prima o contraprestación que paga el optante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por la concesión de la opción. DÍEZ-PICAZO diferencia entre opción onerosa 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gratuita. Para este autor, la opción es gratuita cuando el concedente no recibe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nada a cambio de la concesión de la opción. Sin embargo, una cosa es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sea gratuita y otra, distinta, que suponga una donación, pues para ésta 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requisito esencial el 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animus donandi</w:t>
      </w:r>
      <w:r w:rsidRPr="00154B66">
        <w:rPr>
          <w:rFonts w:ascii="Verdana" w:hAnsi="Verdana"/>
          <w:color w:val="000000"/>
          <w:shd w:val="clear" w:color="auto" w:fill="FFFFFF"/>
        </w:rPr>
        <w:t>. Nótese, además, que la legislación fiscal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presume una prima aunque no se hubiese pactado (el cinco por ciento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precio de la compra). En todo caso, la frecuencia de estas opciones sin prima 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gratuitas nos llevan al estudio de algunas cuestiones de capacidad: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1º ¿Puede el menor pactarlo válidamente por la vía del artículo 626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Código Civil? Para los que entienden que la opción gratuita es una donación,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art. 626 CC resulta de aplicación directa; pero, incluso para aquellos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entendemos que no hay donación por faltar el animus donandi, el art. 626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resulta de aplicación analógica, pues no olvidemos la tendencia progresiva en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el Derecho moderno de ampliar la capacidad de contratación de los menores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el tráfico jurídico.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2º En relación con la sociedad de gananciales surge la duda de si la opción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gratuita a favor de un cónyuge implica la privatividad, a la luz del art. 1.346.2 y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el punto cuarto, que predica la privatividad de los bienes adquiridos por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derecho de retracto perteneciente a uno de los cónyuges y aplicable por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identidad de ratio al caso del bien adquirido en virtud de opción gratuita.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caso más dudoso es el del derecho de opción, pactado sin prima, constante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matrimonio, a favor de uno de los cónyuges. Creemos, con LEÑA, que 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ganancial, porque no hay donación y porque la adquisición surge como fruto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del trabajo o capacidad negocial del cónyuge.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3º Prima concedida, sin opción, por una sociedad mercantil. ¿Es exigible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exigencia de autorización de la junta general por ser un acto contrario al objeto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social? Evidentemente, la respuesta positiva exige aceptar dos cosas: primero,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la opción sin prima es una donación; segundo, que la donación es un acto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contrario al objeto social. Lo primero, ya lo hemos adelantado, no es sostenible,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porque la donación exige, en todo caso, el animus donandi, que es lo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justifica el régimen jurídico de la donación y su exorbitancia de la teoría general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obligaciones y contratos; lo segundo, a nuestro juicio, tampoco es admisible,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no sólo porque la teoría de los actos contrarios al objeto social es incompatible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61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37" w:name="101"/>
            <w:bookmarkEnd w:id="37"/>
            <w:r w:rsidRPr="00154B66">
              <w:rPr>
                <w:rFonts w:ascii="Verdana" w:hAnsi="Verdana" w:cs="Arial"/>
                <w:b/>
                <w:bCs/>
              </w:rPr>
              <w:t>Page 101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101 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 el sistema legal previsto por la Primera Directiva y la LSA, sino sobre todo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porque incluso dentro de esa teoría la concesión sin prima debería incluirse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dentro de la categoría del acto neutro.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También es interesante el estudio de la posibilidad de convertir la prima en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parte del precio. Es decir, el pacto de que la prima rebajará el precio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compra en caso de ejercicio de la opción por el optante. Baste indicar que en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opinión de los autores (LEÑA FERNÁNDEZ) y la DGRN (Resolución 29 enero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86) tal pacto es admisible, por lícito, si bien plantea dudas en relación con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calificación del carácter gratuito u oneroso de la opción; por la posibilidad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resolución; por las consecuencias de la pérdida de la cosa objeto de compra; 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por las consecuencias en caso de ejercicio de la acción por saneamiento por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vicios ocultos.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5.- EL PLAZO.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 de esencia de la opción, como uno de sus elementos definitorios,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fijación de un plazo para que el optante ejercite o no su derecho.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consentimiento irrevocable del concedente para la perfección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compraventa futura no es indefinido, sino limitado a la duración pactada por las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partes. Siguiendo a LEÑA, el plazo plantea las siguientes cuestiones prácticas: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A) Naturaleza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Creemos que se trata de un plazo de caducidad, no de prescripción ni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resolución como propone MEZQUITA. Así lo entiende la mayoría de la doctrina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y la jurisprudencia del TS, salvo que las partes pacten otra cosa., porque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estamos en presencia de un supuesto de caducidad convencional, como dice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TORRES LANA. Esto implica: primero, que el plazo tiene una duración fija,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transcurrido el cual se extingue el derecho; segundo, que cabe la apreciación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oficio de la caducidad por parte de los tribunales; tercero, que no cabe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aplicación analógica de las normas sobre interrupción de la prescripción.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B) Determinación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El plazo para el ejercicio de la opción debe ser fijado por las partes en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contrato. En caso contrario, será fijado por los Tribunales de conformidad con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el artículo 1.128 CC. Pero nada impide someter el ejercicio de la opción a un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término o condición e incluso dejar su fijación al arbitrio de un tercero.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Sin embargo, en caso de la opción real es imprescindible la fijación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plazo en el negocio constitutivo. La razón es que la opción real implica una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limitación del dominio y como tal debe ser objeto de interpretación estricta.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62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38" w:name="102"/>
            <w:bookmarkEnd w:id="38"/>
            <w:r w:rsidRPr="00154B66">
              <w:rPr>
                <w:rFonts w:ascii="Verdana" w:hAnsi="Verdana" w:cs="Arial"/>
                <w:b/>
                <w:bCs/>
              </w:rPr>
              <w:t>Page 102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102 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C) Duración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Ya hemos indicado que el plazo máximo de cuatro años es para el acceso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al Registro, pero doctrina y jurisprudencia admiten plazos más largos, incluso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30 años. Pero la exigencia reglamentaria de cuatro años máximo ha creado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polémica en la doctrina.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ROCA SASTRE cree que el plazo de cuatro años es aplicable en todo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caso, ya sea un derecho real o personal, puesto que el precepto integra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laguna legal y sólo se refiere al derecho personal de opción. Pero esta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interpretación no parece correcta porque una norma reglamentaria no puede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alterar el principio constitucional de libertad del dominio; y porque el precepto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sólo prevé los requisitos de la inscripción.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RUANO entiende que el plazo puede ser mayor de cuatro años en caso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opciones reales, puesto que la norma reglamentaria no puede limitar una ley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sustantiva. Sin embargo, lo que a su juicio impide la inscripción es el socorrido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principio de especialidad, que exige la determinación de un plazo concreto.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 nuestro juicio, es evidente que en la opción personal puede fijarse un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plazo de duración superior a cuatro años. Y en cuanto a la opción real,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entendemos que sería posible fijar un plazo mayor, aunque razones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prudencia aconsejen fijar un plazo máximo de cuatro años. Pero, desde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punto de vista técnico, no vemos inconveniente en fijar un plazo mayor: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primero, porque la norma reglamentaria no puede limitar el principio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constitucional de libertad del dominio; segundo, porque lo único que exige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principio de especialidad es que el plazo esté determinado; y tercero, que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plazo superior será admisible en tanto en cuanto no suponga la amortización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la propiedad y un bloqueo excesivo de la riqueza territorial.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Finalmente y por lo que se refiere a la posibilidad de PRORROGA, ROCA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entiende que el plazo de cuatro años es un plazo máximo, sin posibilidad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prórroga, sin perjuicio de pactar una nueva opción, solución que siguió la STS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30 SEPTIEMBRE 81., Sin embargo, doctrina y jurisprudencia posterior admiten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posibilidad de prórroga de la caducidad convencional, puesto que rige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principio de autonomía de la voluntad y no se ven posibles infracciones de ley,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moral ni orden público. La Resolución de 30 DE SEPTIEMBRE DEL 87 admite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igualmente la prórroga como una ampliación del derecho real de opción.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Quizá la cuestión más dudosa es si sería posible que la propia escritura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fijara un plazo de duración de cuatro años, previendo que a la llegada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mismo se ampliara en otros cuatro más. TORRES LANA Y LEÑA entienden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sería admisible y que los efectos de la prórroga se retrotraerían 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momento de constitución de la opción, que entienden que la limitación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cuatro años sólo se predica respecto del derecho personal que se inscribe. No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obstante, en este punto la DGRN es clara: la prórroga, siendo admisible, se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entiende sin perjuicio de los derechos de terceros intermedios. Lo cual tiene un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doble fundamento: primero, que al ser la ampliación de un derecho real, cabe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acudir analógicamente al art. 115 LH; segundo, que la fuerza retroactiva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todo derecho debe respetar los derechos adquiridos en periodo intermedio.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63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39" w:name="103"/>
            <w:bookmarkEnd w:id="39"/>
            <w:r w:rsidRPr="00154B66">
              <w:rPr>
                <w:rFonts w:ascii="Verdana" w:hAnsi="Verdana" w:cs="Arial"/>
                <w:b/>
                <w:bCs/>
              </w:rPr>
              <w:t>Page 103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103 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D) Plazo, prima y precio.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principio, el pago de la prima debe realizarse durante el plazo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existencia de la opción. Se puede pagar al contado o a plazos, siendo usual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se pague por meses vencidos. Ahora bien, ¿qué ocurre si no se paga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prima? A falta de pacto, es evidente que cabe la resolución por incumplimiento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del contrato por la vía del art. 1.124 CC. También se puede pactar que la falta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pago tendrá el carácter de condición resolutoria explícita. Finalmente, puede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pactarse que la falta de pago implicará la caducidad convencional del derecho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y, por tanto, la posibilidad de ejercicio de la opción.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Por otra parte, la declaración de voluntad del optante, ejercitando la opción,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debe producirse dentro del plazo pactado. Ahora bien, junto a la emisión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declaración de voluntad, es preciso que ésta llegue al concedente durante ese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plazo máximo. Lo cual conduce a las conocidas teorías del conocimiento,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emisión o recepción en caso de formación de la voluntad de forma sucesiva por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personas distantes.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Pero lo que parece claro es que una cosa es la perfección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compraventa futura y otra, posterior, su consumación, lo que explica que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precio de la compraventa podrá pagarse transcurrido el plazo de cuatro años 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el otorgamiento de la escritura de venta también podrá hacerse después.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Cuestión discutida es si cabe que la declaración de voluntad del optante se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haga por mandatario verbal, ratificándose después del plazo máximo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opción el propio optante. Por una parte, el contrato no existe ni produce efecto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hasta la ratificación posterior, con lo cual ya habría transcurrido el plazo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máximo. Pero, a nuestro juicio, parece preferible entender que la ratificación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tiene efectos retroactivos al momento en que manifestó la voluntad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mandatario verbal y siempre con pleno respeto de los derechos adquiridos por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persona en tiempo intermedio.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6.- EFICACIA DE LA OPCIÓN.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Una vez constituida la opción de compra, interesa el estudio de su eficacia,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tanto 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inter partes </w:t>
      </w:r>
      <w:r w:rsidRPr="00154B66">
        <w:rPr>
          <w:rFonts w:ascii="Verdana" w:hAnsi="Verdana"/>
          <w:color w:val="000000"/>
          <w:shd w:val="clear" w:color="auto" w:fill="FFFFFF"/>
        </w:rPr>
        <w:t>como frente a terceros. Lo segundo dependerá, obviamente,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la configuración de la opción como un derecho real o personal, así como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posible inscripción de la opción en el Registro de la Propiedad.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A) Efectos 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inter partes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Entre el concedente y optante surgen los típicos derechos y obligaciones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todo contrato. Pero quizá el más interesante es la obligación de no disponer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asume el concedente. En rigor conviene distinguir el alcance de esta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obligación en función de su configuración como derecho real o personal.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Si se pacta la opción como un DERECHO PERSONAL, el concedente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asume únicamente una obligación de no disponer, que es una obligación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64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40" w:name="104"/>
            <w:bookmarkEnd w:id="40"/>
            <w:r w:rsidRPr="00154B66">
              <w:rPr>
                <w:rFonts w:ascii="Verdana" w:hAnsi="Verdana" w:cs="Arial"/>
                <w:b/>
                <w:bCs/>
              </w:rPr>
              <w:t>Page 104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104 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negativa consistente en un 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non facere</w:t>
      </w:r>
      <w:r w:rsidRPr="00154B66">
        <w:rPr>
          <w:rFonts w:ascii="Verdana" w:hAnsi="Verdana"/>
          <w:color w:val="000000"/>
          <w:shd w:val="clear" w:color="auto" w:fill="FFFFFF"/>
        </w:rPr>
        <w:t>. Pero si el concedente incumple,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enajenación es válida, sin perjuicio de la indemnización de los daños causados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por aplicación del art. 1.101 CC.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cambio, si por voluntad de las partes la opción se configura como un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DERECHO REAL, entendemos que es de esencia de la opción que contenga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una verdadera prohibición de disponer. Esta prohibición implica la restricción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facultad del derecho de disposición por parte del concedente. Y, en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consecuencia, en caso de disposición el acto es nulo desde el punto de vista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real, por faltar la legitimación dispositiva del concedente. La compraventa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existirá, pero como un supuesto similar a la venta de cosa ajena. Es decir,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creemos que las prohibiciones de disponer voluntarias existen en nuestro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ordenamiento al margen del Registro y sin perjuicio de la aparición de un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tercero hipotecario protegido. Lo que significa que el adquirente no adquiere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concedente, sino en su caso del ordenamiento jurídico, que le permite una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adquisición a non domino por aplicación del principio de protección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apariencia jurídica.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B) Efectos frente a terceros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primer lugar, cabe que la opción de compra se configure por las partes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como un DERECHO PERSONAL. En relación con los ACTOS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DISPOSICIÓN DEL CONCEDENTE, si el concedente, pese a la obligación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no disponer impuesta en el contrato, enajena la cosa objeto de la compraventa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futura, la enajenación será válida y el tercero está protegido en su adquisición.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Esto no impide que el optante pueda dirigirse contra el concedente para exigirle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correspondiente indemnización por daños como consecuencia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incumplimiento contractual (1.101 CC).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Si la opción personal se inscribe, no hay bloqueo registral y son inscribibles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los actos de disposición y gravamen posteriores. Pero obviamente,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inscripción le proporciona los efectos de la eficacia ofensiva del Registro y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afecta como carga a los adquierentes. Para ROCA, el adquirente se subroga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la posición del concedente, de modo que en caso de ejercicio de la opción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compra debe otorgar la escritura de venta a favor del optante. Sin embargo,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postura mayoritaria cree que no hay subrogación, sino resolución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adquisición del adquirente, de modo que pasa el concedente quien tiene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formalizar la escritura de venta a favor del optante, que son las partes ligadas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por el contrato original.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Pero también cabe, como hemos indicado, que el derecho de opción se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configure como un DERECHO REAL. En este caso, en relación con los ACTOS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DISPOSICIÓN DEL CONCEDENTE, hay una diferencia esencial. En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opción real no hay una simple obligación de no disponer, sino una prohibición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disponer, lo que implica que el concedente no puede válidamente vender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por no tener la legitimación dispositiva.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Si la opción real está inscrita (recordemos, para algunos necesariamente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debe estar inscrita) la opción es oponible, como derecho real, a terceros. Si no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está inscrita, la opción, como derecho real, afectará a terceros, puesto que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65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41" w:name="105"/>
            <w:bookmarkEnd w:id="41"/>
            <w:r w:rsidRPr="00154B66">
              <w:rPr>
                <w:rFonts w:ascii="Verdana" w:hAnsi="Verdana" w:cs="Arial"/>
                <w:b/>
                <w:bCs/>
              </w:rPr>
              <w:t>Page 105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105 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tiene eficacia erga omnes. Excepción: que aparezca un tercero protegido por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fe pública registral. Pero nótese que en caso de fincas no inscritas o en caso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el tercero no sea un tercero hipotecario protegido, la opción real, por su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eficacia erga omnes, le afectará.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cuanto a los CREDITOS Y CARGAS posteriores, así como anotaciones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embargo de fecha posterior a la inscripción de la opción, hay una abundante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doctrina de la DRGN, que resumimos, siguiendo a LEÑA, en los siguientes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puntos: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1º La cancelación puede hacerse sin concurso del titular registral.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2º La cancelación puede solicitarse bien al tiempo del otorgamiento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escritura de formalización de la venta futura o bien posteriormente por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comprador.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3º Que para cancelar es indispensable la consignación o depósito, 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disposición de los titulares de cargas posteriores, el importe de la totalidad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precio, salvo que no quede nada por pagar o se arbitre una garantía suficiente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su favor, de conformidad con el art. 176 RH.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Como excepción, en la reciente Resolución DGRN de 4 de septiembre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2.009 señala que no es necesaria la consignación si el comprador había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pactado, como forma de pago del precio, “la retención de la totalidad del precio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pactado para hacer frente al pago del préstamo garantizado con la hipoteca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grava la finca y que es preferente respecto del derecho de opción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ejercitado”.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4º Que los embargos posteriores a la opción también serán cancelados sin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necesidad de providencia ejecutoria.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7.- CESIÓN DE LA OPCIÓN.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cuanto a la posible cesión de la opción por parte del optante, podemos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distinguir, siguiendo a DIEZ-PICAZO, dos situaciones: a) que las partes hayan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pactado expresamente la cesión unilateral por el optante, sin consentimiento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del concedente, en cuyo caso estamos ante la llamada opción mediatoria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estudiamos en el apartado siguiente; y b) que el contrato de opción no preva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nada, en cuyo caso caben, hipotéticamente, las siguientes soluciones.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caso de que se haya configurado el contrato de opción como generador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un simple DERECHO PERSONAL se pueden seguir las siguientes tesis: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a) para una primera tesis, rige el principio general de transmisibilidad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los derechos de créditos a que se refiere el art. 1.112 CC.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b) para una segunda tesis, la cesión de la opción exige, en todo caso,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consentimiento del concedente. Razón: se trata de un supuesto de cesión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contrato, pues lo que se cede no es un derecho de crédito, sino una posición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contractual compleja, integrante de un complejo haz de derechos y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obligaciones.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66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42" w:name="106"/>
            <w:bookmarkEnd w:id="42"/>
            <w:r w:rsidRPr="00154B66">
              <w:rPr>
                <w:rFonts w:ascii="Verdana" w:hAnsi="Verdana" w:cs="Arial"/>
                <w:b/>
                <w:bCs/>
              </w:rPr>
              <w:t>Page 106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106 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c) una postura intermedia, que defiende DÍEZ-PICAZO, distingue dos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situaciones. Primero, que la cedibilidad será siempre posible si la opción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compra no crea especiales obligaciones al optante, por ejemplo si se pactó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pago al contado y éste es asumido por el cesionario; segundo, que por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contrario la opción de compra cree especiales obligaciones para el optante, por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ejemplo, pagar a plazos, en cuyo caso la identidad de la persona del optante 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esencial y se exige el consentimiento del concedente. Es decir, en el primer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caso es una simple cesión de derechos; en el segundo, se cede una relación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jurídica compleja y hay cesión de contrato, de modo que hace falta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consentimiento del concedente.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cambio, si la opción se configura como un DERECHO REAL, la mayor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parte de la doctrina estima que cabe la transmisión sin consentimiento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concedente, precisamente porque esta es una nota típica de los derechos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reales y porque en caso contrario supondría una limitación a la circulación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los bienes inmobiliarios que no justificaría la admisibilidad del derecho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opción real. Es decir, rige el principio general de transmisibilidad de los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derechos reales.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8.- OPCIÓN MEDIATORIA</w:t>
      </w:r>
      <w:r w:rsidRPr="00154B66">
        <w:rPr>
          <w:rFonts w:ascii="Verdana" w:hAnsi="Verdana"/>
          <w:color w:val="000000"/>
          <w:shd w:val="clear" w:color="auto" w:fill="FFFFFF"/>
        </w:rPr>
        <w:t>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 frecuente que en el contrato de opción se incluya una cláusula en virtud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la cual se conceda la opción al optante “o a la persona que ésta designe”.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Ya hemos indicado que su función económica es predominantemente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especulativa.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cuanto a su naturaleza jurídica, MEZQUITA cree que estamos en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presencia de un contrato de corretaje con pacto de opción, si bien la mayoría,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 DÍEZ-PICAZO, estima que es sólo una opción en la que se prevé la cesión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del contrato por voluntad unilateral del cesionario. El TS, por su parte, entiende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que la cláusula de persona a designar no es más que una estipulación a favor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un tercero.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Por lo que se refiere a su régimen jurídico, creemos, con LEÑA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FERNÁNDEZ, que son admisibles las siguientes conclusiones: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1º La cláusula de persona a designar no es más que un consentimiento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concedente para que el optante pueda subrogar a un tercero en su posición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jurídica.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2º Por tanto, la subrogación implica una verdadera cesión de contrato, porque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lo que se cede es la compleja posición del optante en el contrato de opción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ligado al contrato futuro de compraventa.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3º La declaración de voluntad de ejercicio de la opción corresponde al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designado, si bien debe comparecer en la escritura de compraventa el optante,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para que quede acreditado quién es el designado, salvo que con anterioridad y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por medios fehacientes tenga el concedente conocimiento de esta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circunstancia.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67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43" w:name="107"/>
            <w:bookmarkEnd w:id="43"/>
            <w:r w:rsidRPr="00154B66">
              <w:rPr>
                <w:rFonts w:ascii="Verdana" w:hAnsi="Verdana" w:cs="Arial"/>
                <w:b/>
                <w:bCs/>
              </w:rPr>
              <w:t>Page 107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107 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4º Por su naturaleza, conviene fijar en el contrato la naturaleza y los efectos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cláusula de designación, así como los requisitos para que, en su caso, se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tenga por efectuada la designación frente al concedente.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b/>
          <w:bCs/>
          <w:color w:val="000000"/>
          <w:shd w:val="clear" w:color="auto" w:fill="FFFFFF"/>
        </w:rPr>
        <w:t>9.- OPCIÓN EN GARANTÍA.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En una primera aproximación, se entiende por opción en garantía aquella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opción que concede el deudor al acreedor (optante) con el fin de que,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incumplida la obligación garantizada, pueda el acreedor ejercitar la opción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compra, quedándose con el bien dado en garantía como pago de la deuda.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El problema que plantea la opción en garantía es su calificación como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negocio fiduciario constitutivo de una garantía real atípica inmobiliaria. Y,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especialmente, si la esta forma de garantía no supone una infracción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prohibición del pacto comisorio a que se refiere el art. 1.859 CC.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jurisprudencia del TS viene admitiendo reiteradamente la validez de esta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figura, ya como negocio fiduciario, ya como negocio complejo o atípico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garantía.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DGRN, en cambio, mantiene una postura mucho más restrictiva. Es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fundamental la Resolución de 10 de junio de 1.986, si bien la doctrina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centro directivo puede condensarse en las siguientes ideas: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1º Implica una pacto comisorio, prohibido expresamente por nuestro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ordenamiento.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2º Implica un abuso de la posición del deudor, ya que el valor que se fija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para el bien dado en garantía no es real, sino que coincide con el importe de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deuda.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3º No existe un procedimiento de ejecución que permita la fijación del valor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objetivo del bien, a diferencia de la hipoteca (129 LH) o prenda (1.872 CC).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4º Es una figura que se presta al fraude.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No obstante lo anterior, es criticable la disparidad de criterios entre el TS y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DGRN, seguramente motivada por salvaguardar en lo máximo posible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seguridad del tráfico jurídico. Pero precisamente por eso, la doctrina del Centro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Directivo es perturbadora. Y lo es porque: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1º La existencia del pacto comisorio debe ser apreciada en cada caso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concreto y en función de la ratio del art. 1.859 CC: evitar que el acreedor se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apropie de un bien que vale objetivamente más que la deuda garantizada y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evitar que el deudor acuda a este tipo de garantía en caso de necesidad. Pero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las partes pueden fijar una opción en garantía que no altere la prohibición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pacto comisorio. Así, se considera que la valoración objetiva del bien se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consigue incluyendo como precio el valor de tasación.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2º No existe inconveniente en compensar el importe de la deuda con 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valor del bien que garantiza la obligación. No tiene que ser de peor condición 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compensación en la opción que otro negocio jurídico. Lo relevante, insisto, es</w:t>
      </w:r>
    </w:p>
    <w:p w:rsidR="002D4F24" w:rsidRPr="00154B66" w:rsidRDefault="002D4F24" w:rsidP="00154B66">
      <w:pPr>
        <w:shd w:val="clear" w:color="auto" w:fill="FFFFFF"/>
        <w:jc w:val="both"/>
        <w:rPr>
          <w:rFonts w:ascii="Verdana" w:hAnsi="Verdana"/>
          <w:color w:val="000000"/>
        </w:rPr>
      </w:pPr>
      <w:r w:rsidRPr="00483FF3">
        <w:rPr>
          <w:rFonts w:ascii="Verdana" w:hAnsi="Verdana"/>
          <w:color w:val="000000"/>
        </w:rPr>
        <w:pict>
          <v:rect id="_x0000_i1068" style="width:0;height:1.5pt" o:hralign="center" o:hrstd="t" o:hr="t" fillcolor="#aaa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573"/>
      </w:tblGrid>
      <w:tr w:rsidR="002D4F24" w:rsidRPr="00C10594" w:rsidTr="0010543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</w:tcPr>
          <w:p w:rsidR="002D4F24" w:rsidRPr="00154B66" w:rsidRDefault="002D4F24" w:rsidP="00154B66">
            <w:pPr>
              <w:jc w:val="both"/>
              <w:rPr>
                <w:rFonts w:ascii="Verdana" w:hAnsi="Verdana"/>
              </w:rPr>
            </w:pPr>
            <w:bookmarkStart w:id="44" w:name="108"/>
            <w:bookmarkEnd w:id="44"/>
            <w:r w:rsidRPr="00154B66">
              <w:rPr>
                <w:rFonts w:ascii="Verdana" w:hAnsi="Verdana" w:cs="Arial"/>
                <w:b/>
                <w:bCs/>
              </w:rPr>
              <w:t>Page 108</w:t>
            </w:r>
          </w:p>
        </w:tc>
      </w:tr>
    </w:tbl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108 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 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evitar que se produzca una apropiación del valor del bien por parte del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acreedor en abuso de la posición del deudor.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3º El procedimiento de ejecución judicial o extrajudicial tratan de asegurar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obtención del mayor valor, en garantía del deudor y de los terceros. Pero si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opción fija el valor real y el valor objetivo no hay inconveniente en admitirlo.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Nótese, además, que desde el punto de vista práctico, el valor de tasación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las hipotecas pocas veces coincide con el valor de adjudicación.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4º Absolutamente improcedente, como ya admite la DGRN, es el recurso 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idea del fraude. Primero, porque rige el principio de buena fe en nuestro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ordenamiento; segundo, porque la calificación no puede basarse en conjeturas;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tercero, porque el fraude sólo se puede combatir judicialmente y por medio de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la oportuna acción impugnatoria.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Como decimos, esta postura es la que empieza a observarse en la doctrina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la DRGN. Destacamos, sobre todo, la resolución de 8 DE ABRIL DE 1.991: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indica que es inscribible una escritura de opción de compra con una cláusula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de compensación, en virtud de la cual se pacta que “</w:t>
      </w:r>
      <w:r w:rsidRPr="00154B66">
        <w:rPr>
          <w:rFonts w:ascii="Verdana" w:hAnsi="Verdana"/>
          <w:i/>
          <w:iCs/>
          <w:color w:val="000000"/>
          <w:shd w:val="clear" w:color="auto" w:fill="FFFFFF"/>
        </w:rPr>
        <w:t>el optante podrá satisfacer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en todo o en parte el precio por medio de la compensación de los créditos que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i/>
          <w:iCs/>
          <w:color w:val="000000"/>
          <w:shd w:val="clear" w:color="auto" w:fill="FFFFFF"/>
        </w:rPr>
        <w:t>en el momento de ejercitar la opción ostente contra los concedentes</w:t>
      </w:r>
      <w:r w:rsidRPr="00154B66">
        <w:rPr>
          <w:rFonts w:ascii="Verdana" w:hAnsi="Verdana"/>
          <w:color w:val="000000"/>
          <w:shd w:val="clear" w:color="auto" w:fill="FFFFFF"/>
        </w:rPr>
        <w:t>”. Este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negocio, que encubre un pacto marciano, indica la DGRN que no es nulo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porque hay que presumir la buena fe y porque si hay fraude debe acreditarse</w:t>
      </w:r>
    </w:p>
    <w:p w:rsidR="002D4F24" w:rsidRPr="00154B66" w:rsidRDefault="002D4F24" w:rsidP="00154B66">
      <w:pPr>
        <w:jc w:val="both"/>
        <w:rPr>
          <w:rFonts w:ascii="Verdana" w:hAnsi="Verdana"/>
          <w:color w:val="000000"/>
          <w:shd w:val="clear" w:color="auto" w:fill="FFFFFF"/>
        </w:rPr>
      </w:pPr>
      <w:r w:rsidRPr="00154B66">
        <w:rPr>
          <w:rFonts w:ascii="Verdana" w:hAnsi="Verdana"/>
          <w:color w:val="000000"/>
          <w:shd w:val="clear" w:color="auto" w:fill="FFFFFF"/>
        </w:rPr>
        <w:t>por medio del procedimiento judicial correspondiente.</w:t>
      </w:r>
    </w:p>
    <w:p w:rsidR="002D4F24" w:rsidRPr="00154B66" w:rsidRDefault="002D4F24" w:rsidP="00154B66">
      <w:pPr>
        <w:jc w:val="both"/>
        <w:rPr>
          <w:rFonts w:ascii="Verdana" w:hAnsi="Verdana"/>
        </w:rPr>
      </w:pPr>
    </w:p>
    <w:sectPr w:rsidR="002D4F24" w:rsidRPr="00154B66" w:rsidSect="00FE7F6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43E"/>
    <w:rsid w:val="0010543E"/>
    <w:rsid w:val="00141F8F"/>
    <w:rsid w:val="00154B66"/>
    <w:rsid w:val="002D4F24"/>
    <w:rsid w:val="00483FF3"/>
    <w:rsid w:val="00AA3EC4"/>
    <w:rsid w:val="00C10594"/>
    <w:rsid w:val="00FE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F3"/>
    <w:rPr>
      <w:sz w:val="24"/>
      <w:szCs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17954</Words>
  <Characters>-32766</Characters>
  <Application>Microsoft Office Outlook</Application>
  <DocSecurity>0</DocSecurity>
  <Lines>0</Lines>
  <Paragraphs>0</Paragraphs>
  <ScaleCrop>false</ScaleCrop>
  <Company>Doña sol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 PARA DICTAMEN</dc:title>
  <dc:subject/>
  <dc:creator>Mdo Egea</dc:creator>
  <cp:keywords/>
  <dc:description/>
  <cp:lastModifiedBy>Usuario</cp:lastModifiedBy>
  <cp:revision>2</cp:revision>
  <dcterms:created xsi:type="dcterms:W3CDTF">2018-12-18T17:49:00Z</dcterms:created>
  <dcterms:modified xsi:type="dcterms:W3CDTF">2018-12-18T17:49:00Z</dcterms:modified>
</cp:coreProperties>
</file>